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 do older people learn from young people? Intergenerational learning in ‘day centre’ community settings in Malta</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pStyle w:val="Heading2"/>
      </w:pPr>
      <w:bookmarkStart w:id="8" w:name="_Toc9"/>
      <w:r>
        <w:t>Other Researched Group</w:t>
      </w:r>
      <w:bookmarkEnd w:id="8"/>
    </w:p>
    <w:p>
      <w:pPr/>
      <w:r>
        <w:rPr/>
        <w:t xml:space="preserve">Elderly</w:t>
      </w:r>
    </w:p>
    <w:p>
      <w:pPr>
        <w:pStyle w:val="Heading2"/>
      </w:pPr>
      <w:bookmarkStart w:id="9" w:name="_Toc10"/>
      <w:r>
        <w:t>Children Ages</w:t>
      </w:r>
      <w:bookmarkEnd w:id="9"/>
    </w:p>
    <w:p>
      <w:pPr/>
      <w:r>
        <w:rPr/>
        <w:t xml:space="preserve">Other</w:t>
      </w:r>
    </w:p>
    <w:p>
      <w:pPr>
        <w:pStyle w:val="Heading2"/>
      </w:pPr>
      <w:bookmarkStart w:id="10" w:name="_Toc11"/>
      <w:r>
        <w:t>Other Childrens Age Group</w:t>
      </w:r>
      <w:bookmarkEnd w:id="10"/>
    </w:p>
    <w:p>
      <w:pPr/>
      <w:r>
        <w:rPr/>
        <w:t xml:space="preserve">16-17 years old</w:t>
      </w:r>
    </w:p>
    <w:p>
      <w:pPr>
        <w:pStyle w:val="Heading2"/>
      </w:pPr>
      <w:bookmarkStart w:id="11" w:name="_Toc12"/>
      <w:r>
        <w:t>Consents</w:t>
      </w:r>
      <w:bookmarkEnd w:id="11"/>
    </w:p>
    <w:p>
      <w:pPr/>
      <w:r>
        <w:rPr/>
        <w:t xml:space="preserve">Other</w:t>
      </w:r>
    </w:p>
    <w:p>
      <w:pPr>
        <w:pStyle w:val="Heading2"/>
      </w:pPr>
      <w:bookmarkStart w:id="12" w:name="_Toc13"/>
      <w:r>
        <w:t>Informed Consent</w:t>
      </w:r>
      <w:bookmarkEnd w:id="12"/>
    </w:p>
    <w:p>
      <w:pPr/>
      <w:r>
        <w:rPr/>
        <w:t xml:space="preserve">Consent obtained</w:t>
      </w:r>
    </w:p>
    <w:p>
      <w:pPr>
        <w:pStyle w:val="Heading2"/>
      </w:pPr>
      <w:bookmarkStart w:id="13" w:name="_Toc14"/>
      <w:r>
        <w:t>Ethics</w:t>
      </w:r>
      <w:bookmarkEnd w:id="13"/>
    </w:p>
    <w:p>
      <w:pPr/>
      <w:r>
        <w:rPr/>
        <w:t xml:space="preserve">Ethical considerations and/or protocol mentioned in the research design</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This qualitative research takes on a phenomenological approach to understanding "what motivates old people to attend 'day centres' in Malta and what they believe that they derive from young people who carry out their placements at these day 'centres'." (Spiteri, 2016; p. 235).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2025-10-15T17:14:43+00:00</dcterms:created>
  <dcterms:modified xsi:type="dcterms:W3CDTF">2025-10-15T17:14:43+00:00</dcterms:modified>
</cp:coreProperties>
</file>

<file path=docProps/custom.xml><?xml version="1.0" encoding="utf-8"?>
<Properties xmlns="http://schemas.openxmlformats.org/officeDocument/2006/custom-properties" xmlns:vt="http://schemas.openxmlformats.org/officeDocument/2006/docPropsVTypes"/>
</file>