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Медиите, родителите и развитието на децата   – допитване до родители</w:t>
      </w:r>
    </w:p>
    <w:p>
      <w:pPr>
        <w:pStyle w:val="Title"/>
      </w:pPr>
      <w:r>
        <w:t>Engl. transl.: Media, parents and children's media and information literacy development</w:t>
      </w:r>
    </w:p>
    <w:p>
      <w:pPr>
        <w:pStyle w:val="Heading1"/>
      </w:pPr>
      <w:bookmarkStart w:id="1" w:name="_Toc3"/>
      <w:r>
        <w:t>Details</w:t>
      </w:r>
      <w:bookmarkEnd w:id="1"/>
    </w:p>
    <w:p>
      <w:pPr>
        <w:pStyle w:val="Heading2"/>
      </w:pPr>
      <w:bookmarkStart w:id="2" w:name="_Toc4"/>
      <w:r>
        <w:t>Year</w:t>
      </w:r>
      <w:bookmarkEnd w:id="2"/>
    </w:p>
    <w:p>
      <w:pPr/>
      <w:r>
        <w:rPr/>
        <w:t xml:space="preserve">2021</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Parents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voluntary</w:t>
      </w:r>
    </w:p>
    <w:p>
      <w:pPr>
        <w:pStyle w:val="Heading2"/>
      </w:pPr>
      <w:bookmarkStart w:id="10" w:name="_Toc12"/>
      <w:r>
        <w:t>Informed Consent</w:t>
      </w:r>
      <w:bookmarkEnd w:id="10"/>
    </w:p>
    <w:p>
      <w:pPr/>
      <w:r>
        <w:rPr/>
        <w:t xml:space="preserve">No consent needed</w:t>
      </w:r>
    </w:p>
    <w:p>
      <w:pPr>
        <w:pStyle w:val="Heading2"/>
      </w:pPr>
      <w:bookmarkStart w:id="11" w:name="_Toc13"/>
      <w:r>
        <w:t>Ethics</w:t>
      </w:r>
      <w:bookmarkEnd w:id="11"/>
    </w:p>
    <w:p>
      <w:pPr/>
      <w:r>
        <w:rPr/>
        <w:t xml:space="preserve">Ethical considerations not mentioned</w:t>
      </w:r>
    </w:p>
    <w:p>
      <w:pPr>
        <w:pStyle w:val="Heading2"/>
      </w:pPr>
      <w:bookmarkStart w:id="12" w:name="_Toc14"/>
      <w:r>
        <w:t>URL</w:t>
      </w:r>
      <w:bookmarkEnd w:id="12"/>
    </w:p>
    <w:p>
      <w:pPr/>
      <w:r>
        <w:rPr/>
        <w:t xml:space="preserve">https://gramoten.li</w:t>
      </w:r>
    </w:p>
    <w:p>
      <w:pPr>
        <w:pStyle w:val="Heading2"/>
      </w:pPr>
      <w:bookmarkStart w:id="13" w:name="_Toc15"/>
      <w:r>
        <w:t>Data Set Availability</w:t>
      </w:r>
      <w:bookmarkEnd w:id="13"/>
    </w:p>
    <w:p>
      <w:pPr/>
      <w:r>
        <w:rPr/>
        <w:t xml:space="preserve">Data availability statement in the publication</w:t>
      </w:r>
    </w:p>
    <w:p>
      <w:pPr>
        <w:pStyle w:val="Heading1"/>
      </w:pPr>
      <w:bookmarkStart w:id="14" w:name="_Toc16"/>
      <w:r>
        <w:t>Goals</w:t>
      </w:r>
      <w:bookmarkEnd w:id="14"/>
    </w:p>
    <w:p>
      <w:pPr/>
      <w:r>
        <w:rPr/>
        <w:t xml:space="preserve">What are the habits and attitudes in the family in terms of media, opportunities for communication, entertainment and learning online? Are the modern parent doing their best to improve their own media and information literacy and digital competence and in what ways the family contributes to their development in the new generations, born in the digital age? Is there a consensus among parents about what are the benefits and risks of early and comprehensive penetration of digital technologies and media in children's lives? The aim of this research, realized exactly one year after the rapid transition to online distance learning, is through the assessments and self-assessment of almost 1200 parents of children (1 to 12 grade) to take another step closer to identifying possible solutions regarding means to build the critical thinking, knowledge and attitudes needed by children to understand the important role media play in the society, the power of media to influence and persuade, to be both inclusive or divisive, the vulnerability of people of all ages lacking the multiliteracies and the participatory culture that are the key to the information society of XXI century.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7EF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2025-10-15T17:32:52+00:00</dcterms:created>
  <dcterms:modified xsi:type="dcterms:W3CDTF">2025-10-15T17:32:52+00:00</dcterms:modified>
</cp:coreProperties>
</file>

<file path=docProps/custom.xml><?xml version="1.0" encoding="utf-8"?>
<Properties xmlns="http://schemas.openxmlformats.org/officeDocument/2006/custom-properties" xmlns:vt="http://schemas.openxmlformats.org/officeDocument/2006/docPropsVTypes"/>
</file>