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Konstrukcja i walidacja narzędzia kwestionariuszowego do pomiaru rozpowszechnienia hazardu problemowego i patologicznego (w tym online) wśród adolescentów oraz podręcznika metodycznego do jego stosowania</w:t>
      </w:r>
    </w:p>
    <w:p>
      <w:pPr>
        <w:pStyle w:val="Title"/>
      </w:pPr>
      <w:r>
        <w:t>Engl. transl.: Construction and validation of a questionnaire tool to measure the prevalence of problem and pathological gambling (including online) among adolescents</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Poland</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Other practitioners working with children</w:t>
      </w:r>
    </w:p>
    <w:p>
      <w:pPr>
        <w:numPr>
          <w:ilvl w:val="0"/>
          <w:numId w:val="5"/>
        </w:numPr>
      </w:pPr>
      <w:r>
        <w:rPr/>
        <w:t xml:space="preserve">Other</w:t>
      </w:r>
    </w:p>
    <w:p>
      <w:pPr>
        <w:pStyle w:val="Heading2"/>
      </w:pPr>
      <w:bookmarkStart w:id="8" w:name="_Toc10"/>
      <w:r>
        <w:t>Other Researched Group</w:t>
      </w:r>
      <w:bookmarkEnd w:id="8"/>
    </w:p>
    <w:p>
      <w:pPr/>
      <w:r>
        <w:rPr/>
        <w:t xml:space="preserve">Therapists</w:t>
      </w:r>
    </w:p>
    <w:p>
      <w:pPr>
        <w:pStyle w:val="Heading2"/>
      </w:pPr>
      <w:bookmarkStart w:id="9" w:name="_Toc11"/>
      <w:r>
        <w:t>Children Ages</w:t>
      </w:r>
      <w:bookmarkEnd w:id="9"/>
    </w:p>
    <w:p>
      <w:pPr>
        <w:pStyle w:val="Heading2"/>
      </w:pPr>
      <w:bookmarkStart w:id="10" w:name="_Toc12"/>
      <w:r>
        <w:t>Funder</w:t>
      </w:r>
      <w:bookmarkEnd w:id="10"/>
    </w:p>
    <w:p>
      <w:pPr/>
      <w:r>
        <w:rPr/>
        <w:t xml:space="preserve">Program Ministra Zdrowia p.n. „Wspieranie badań naukowych dotyczących zjawiska uzależnienia od hazardu lub innych uzależnień niestanowiących uzależnienia od substancji psychoaktywnych a także rozwiązywania problemów z tym związanych”</w:t>
      </w:r>
    </w:p>
    <w:p>
      <w:pPr>
        <w:pStyle w:val="Heading2"/>
      </w:pPr>
      <w:bookmarkStart w:id="11" w:name="_Toc13"/>
      <w:r>
        <w:t>Funder Types</w:t>
      </w:r>
      <w:bookmarkEnd w:id="11"/>
    </w:p>
    <w:p>
      <w:pPr/>
      <w:r>
        <w:rPr/>
        <w:t xml:space="preserve">National Government / Ministry</w:t>
      </w:r>
    </w:p>
    <w:p>
      <w:pPr>
        <w:pStyle w:val="Heading2"/>
      </w:pPr>
      <w:bookmarkStart w:id="12" w:name="_Toc14"/>
      <w:r>
        <w:t>Has Formal Ethical Clearance</w:t>
      </w:r>
      <w:bookmarkEnd w:id="12"/>
    </w:p>
    <w:p>
      <w:pPr>
        <w:pStyle w:val="Heading2"/>
      </w:pPr>
      <w:bookmarkStart w:id="13" w:name="_Toc15"/>
      <w:r>
        <w:t>Consents</w:t>
      </w:r>
      <w:bookmarkEnd w:id="13"/>
    </w:p>
    <w:p>
      <w:pPr/>
      <w:r>
        <w:rPr/>
        <w:t xml:space="preserve">Other</w:t>
      </w:r>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pStyle w:val="Heading2"/>
      </w:pPr>
      <w:bookmarkStart w:id="16" w:name="_Toc18"/>
      <w:r>
        <w:t>URL</w:t>
      </w:r>
      <w:bookmarkEnd w:id="16"/>
    </w:p>
    <w:p>
      <w:pPr/>
      <w:r>
        <w:rPr/>
        <w:t xml:space="preserve">https://promocjazdrowiawpracy.pl/konstrukcja-i-walidacja-narzedzia-kwestionariuszowego-do-pomiaru-rozpowszechnienia-hazardu-problemowego-i-patologicznego-w-tym-online-wsrod-adolescentow-oraz-podrecznika-metodycznego-do-jego-stosowa/</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Construction and validation of a new tool called "Lodz Questionnaire for Gambling Problems among Adolescents - ŁKPHA" to measure the prevalence of gambling (including on-line) among adolescents aged 13-18, ie students of junior high and high schools. Exploration of protective factors and risk factors, as well as the psychosocial consequences of involvement in this type of risky behavior and other risky behavior (both traditional and online)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642E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2025-10-15T17:17:16+00:00</dcterms:created>
  <dcterms:modified xsi:type="dcterms:W3CDTF">2025-10-15T17:17:16+00:00</dcterms:modified>
</cp:coreProperties>
</file>

<file path=docProps/custom.xml><?xml version="1.0" encoding="utf-8"?>
<Properties xmlns="http://schemas.openxmlformats.org/officeDocument/2006/custom-properties" xmlns:vt="http://schemas.openxmlformats.org/officeDocument/2006/docPropsVTypes"/>
</file>