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Red de Investigación interdisciplinar para la PROmoción de la salud mental y bienestar EMocional en los jóvenes</w:t>
      </w:r>
    </w:p>
    <w:p>
      <w:pPr>
        <w:pStyle w:val="Title"/>
      </w:pPr>
      <w:r>
        <w:t>Engl. transl.: Interdisciplinary Research Network for the PROmotion of mental health and wellness EMocional in young people</w:t>
      </w:r>
    </w:p>
    <w:p>
      <w:pPr>
        <w:pStyle w:val="Heading1"/>
      </w:pPr>
      <w:bookmarkStart w:id="1" w:name="_Toc3"/>
      <w:r>
        <w:t>Details</w:t>
      </w:r>
      <w:bookmarkEnd w:id="1"/>
    </w:p>
    <w:p>
      <w:pPr>
        <w:pStyle w:val="Heading2"/>
      </w:pPr>
      <w:bookmarkStart w:id="2" w:name="_Toc4"/>
      <w:r>
        <w:t>Year</w:t>
      </w:r>
      <w:bookmarkEnd w:id="2"/>
    </w:p>
    <w:p>
      <w:pPr/>
      <w:r>
        <w:rPr/>
        <w:t xml:space="preserve">Not reported</w:t>
      </w:r>
    </w:p>
    <w:p>
      <w:pPr>
        <w:pStyle w:val="Heading2"/>
      </w:pPr>
      <w:bookmarkStart w:id="3" w:name="_Toc5"/>
      <w:r>
        <w:t>Scope</w:t>
      </w:r>
      <w:bookmarkEnd w:id="3"/>
    </w:p>
    <w:p>
      <w:pPr/>
      <w:r>
        <w:rPr/>
        <w:t xml:space="preserve">Local</w:t>
      </w:r>
    </w:p>
    <w:p>
      <w:pPr>
        <w:pStyle w:val="Heading2"/>
      </w:pPr>
      <w:bookmarkStart w:id="4" w:name="_Toc6"/>
      <w:r>
        <w:t>Countries</w:t>
      </w:r>
      <w:bookmarkEnd w:id="4"/>
    </w:p>
    <w:p>
      <w:pPr/>
      <w:r>
        <w:rPr/>
        <w:t xml:space="preserve">Spain</w:t>
      </w:r>
    </w:p>
    <w:p>
      <w:pPr>
        <w:pStyle w:val="Heading2"/>
      </w:pPr>
      <w:bookmarkStart w:id="5" w:name="_Toc7"/>
      <w:r>
        <w:t>Type</w:t>
      </w:r>
      <w:bookmarkEnd w:id="5"/>
    </w:p>
    <w:p>
      <w:pPr/>
      <w:r>
        <w:rPr/>
        <w:t xml:space="preserve">Empirical research – Quantitative</w:t>
      </w:r>
    </w:p>
    <w:p>
      <w:pPr>
        <w:pStyle w:val="Heading2"/>
      </w:pPr>
      <w:bookmarkStart w:id="6" w:name="_Toc8"/>
      <w:r>
        <w:t>Methodologies</w:t>
      </w:r>
      <w:bookmarkEnd w:id="6"/>
    </w:p>
    <w:p>
      <w:pPr/>
      <w:r>
        <w:rPr/>
        <w:t xml:space="preserve">Survey</w:t>
      </w:r>
    </w:p>
    <w:p>
      <w:pPr>
        <w:pStyle w:val="Heading2"/>
      </w:pPr>
      <w:bookmarkStart w:id="7" w:name="_Toc9"/>
      <w:r>
        <w:t>Researched Groups</w:t>
      </w:r>
      <w:bookmarkEnd w:id="7"/>
    </w:p>
    <w:p>
      <w:pPr/>
      <w:r>
        <w:rPr/>
        <w:t xml:space="preserve">Children</w:t>
      </w:r>
    </w:p>
    <w:p>
      <w:pPr>
        <w:pStyle w:val="Heading2"/>
      </w:pPr>
      <w:bookmarkStart w:id="8" w:name="_Toc10"/>
      <w:r>
        <w:t>Children Ages</w:t>
      </w:r>
      <w:bookmarkEnd w:id="8"/>
    </w:p>
    <w:p>
      <w:pPr/>
      <w:r>
        <w:rPr/>
        <w:t xml:space="preserve">Other</w:t>
      </w:r>
    </w:p>
    <w:p>
      <w:pPr>
        <w:pStyle w:val="Heading2"/>
      </w:pPr>
      <w:bookmarkStart w:id="9" w:name="_Toc11"/>
      <w:r>
        <w:t>Other Childrens Age Group</w:t>
      </w:r>
      <w:bookmarkEnd w:id="9"/>
    </w:p>
    <w:p>
      <w:pPr/>
      <w:r>
        <w:rPr/>
        <w:t xml:space="preserve">13-17</w:t>
      </w:r>
    </w:p>
    <w:p>
      <w:pPr>
        <w:pStyle w:val="Heading2"/>
      </w:pPr>
      <w:bookmarkStart w:id="10" w:name="_Toc12"/>
      <w:r>
        <w:t>Funder</w:t>
      </w:r>
      <w:bookmarkEnd w:id="10"/>
    </w:p>
    <w:p>
      <w:pPr/>
      <w:r>
        <w:rPr/>
        <w:t xml:space="preserve">Spanish Ministry of Economy, Industry and Competitiveness, the European Regional Development Fund and State Research Agency PSI2015-70943-REDT and PSI2017-90650-REDT grants and Gobierno Vasco (PRE_2017_1_0017)</w:t>
      </w:r>
    </w:p>
    <w:p>
      <w:pPr>
        <w:pStyle w:val="Heading2"/>
      </w:pPr>
      <w:bookmarkStart w:id="11" w:name="_Toc13"/>
      <w:r>
        <w:t>Funder Types</w:t>
      </w:r>
      <w:bookmarkEnd w:id="11"/>
    </w:p>
    <w:p>
      <w:pPr>
        <w:numPr>
          <w:ilvl w:val="0"/>
          <w:numId w:val="5"/>
        </w:numPr>
      </w:pPr>
      <w:r>
        <w:rPr/>
        <w:t xml:space="preserve">European Union / Commission</w:t>
      </w:r>
    </w:p>
    <w:p>
      <w:pPr>
        <w:numPr>
          <w:ilvl w:val="0"/>
          <w:numId w:val="5"/>
        </w:numPr>
      </w:pPr>
      <w:r>
        <w:rPr/>
        <w:t xml:space="preserve">National Government / Ministry</w:t>
      </w:r>
    </w:p>
    <w:p>
      <w:pPr>
        <w:numPr>
          <w:ilvl w:val="0"/>
          <w:numId w:val="5"/>
        </w:numPr>
      </w:pPr>
      <w:r>
        <w:rPr/>
        <w:t xml:space="preserve">Regional Government</w:t>
      </w:r>
    </w:p>
    <w:p>
      <w:pPr>
        <w:pStyle w:val="Heading2"/>
      </w:pPr>
      <w:bookmarkStart w:id="12" w:name="_Toc14"/>
      <w:r>
        <w:t>Has Formal Ethical Clearance</w:t>
      </w:r>
      <w:bookmarkEnd w:id="12"/>
    </w:p>
    <w:p>
      <w:pPr>
        <w:pStyle w:val="Heading2"/>
      </w:pPr>
      <w:bookmarkStart w:id="13" w:name="_Toc15"/>
      <w:r>
        <w:t>Consents</w:t>
      </w:r>
      <w:bookmarkEnd w:id="13"/>
    </w:p>
    <w:p>
      <w:pPr>
        <w:numPr>
          <w:ilvl w:val="0"/>
          <w:numId w:val="5"/>
        </w:numPr>
      </w:pPr>
      <w:r>
        <w:rPr/>
        <w:t xml:space="preserve">Consent obtained from parents</w:t>
      </w:r>
    </w:p>
    <w:p>
      <w:pPr>
        <w:numPr>
          <w:ilvl w:val="0"/>
          <w:numId w:val="5"/>
        </w:numPr>
      </w:pPr>
      <w:r>
        <w:rPr/>
        <w:t xml:space="preserve">Consent obtained from children</w:t>
      </w:r>
    </w:p>
    <w:p>
      <w:pPr>
        <w:numPr>
          <w:ilvl w:val="0"/>
          <w:numId w:val="5"/>
        </w:numPr>
      </w:pPr>
      <w:r>
        <w:rPr/>
        <w:t xml:space="preserve">Consent obtained from school officials / principal</w:t>
      </w:r>
    </w:p>
    <w:p>
      <w:pPr>
        <w:pStyle w:val="Heading2"/>
      </w:pPr>
      <w:bookmarkStart w:id="14" w:name="_Toc16"/>
      <w:r>
        <w:t>Informed Consent</w:t>
      </w:r>
      <w:bookmarkEnd w:id="14"/>
    </w:p>
    <w:p>
      <w:pPr/>
      <w:r>
        <w:rPr/>
        <w:t xml:space="preserve">Consent obtained</w:t>
      </w:r>
    </w:p>
    <w:p>
      <w:pPr>
        <w:pStyle w:val="Heading2"/>
      </w:pPr>
      <w:bookmarkStart w:id="15" w:name="_Toc17"/>
      <w:r>
        <w:t>Ethics</w:t>
      </w:r>
      <w:bookmarkEnd w:id="15"/>
    </w:p>
    <w:p>
      <w:pPr/>
      <w:r>
        <w:rPr/>
        <w:t xml:space="preserve">Ethical considerations and/or protocol mentioned in the research design</w:t>
      </w:r>
    </w:p>
    <w:p>
      <w:pPr>
        <w:pStyle w:val="Heading2"/>
      </w:pPr>
      <w:bookmarkStart w:id="16" w:name="_Toc18"/>
      <w:r>
        <w:t>URL</w:t>
      </w:r>
      <w:bookmarkEnd w:id="16"/>
    </w:p>
    <w:p>
      <w:pPr/>
      <w:r>
        <w:rPr/>
        <w:t xml:space="preserve">https://redproem.es/en/home/</w:t>
      </w:r>
    </w:p>
    <w:p>
      <w:pPr>
        <w:pStyle w:val="Heading2"/>
      </w:pPr>
      <w:bookmarkStart w:id="17" w:name="_Toc19"/>
      <w:r>
        <w:t>Data Set Availability</w:t>
      </w:r>
      <w:bookmarkEnd w:id="17"/>
    </w:p>
    <w:p>
      <w:pPr/>
      <w:r>
        <w:rPr/>
        <w:t xml:space="preserve">Not mentioned</w:t>
      </w:r>
    </w:p>
    <w:p>
      <w:pPr>
        <w:pStyle w:val="Heading1"/>
      </w:pPr>
      <w:bookmarkStart w:id="18" w:name="_Toc20"/>
      <w:r>
        <w:t>Goals</w:t>
      </w:r>
      <w:bookmarkEnd w:id="18"/>
    </w:p>
    <w:p>
      <w:pPr/>
      <w:r>
        <w:rPr/>
        <w:t xml:space="preserve">The PROEM network promotes age (junior and senior researchers) and gender balance, combining expertise from researchers in the field of Psychology and other disciplines. It aims to obtain a comprehensive description of assessment and promotion of emotional health and well-being in young people experiencing emotional problems. It also encourages the inclusion of under-represented groups (e.g., lesbian, gay, bisexual and trans (LGBT) communities and ethnic minorities). Drawing on a diverse group of participants will ensure that the network remains sensitive to how diversity and minority status issues may affect the promotion of mental health services for young people with emotional difficulties.
One of the main objectives is to deliver a roadmap for the early diagnosis of emotional disorders and promotion of emotional health and well-being in the young to be used as input for researchers, mental health providers, end users, the school sector, civil organizations, stakeholders and policy-makers, with special consideration for the role of gender, minorities, and under-represented groups.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15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4546A2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2025-10-15T17:17:34+00:00</dcterms:created>
  <dcterms:modified xsi:type="dcterms:W3CDTF">2025-10-15T17:17:34+00:00</dcterms:modified>
</cp:coreProperties>
</file>

<file path=docProps/custom.xml><?xml version="1.0" encoding="utf-8"?>
<Properties xmlns="http://schemas.openxmlformats.org/officeDocument/2006/custom-properties" xmlns:vt="http://schemas.openxmlformats.org/officeDocument/2006/docPropsVTypes"/>
</file>