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Prevención de la Violencia Interpersonal en la Adolescencia: una Nueva Generación de Intervenciones Basadas en la Evidencia (PSI2017-86723-R)</w:t>
      </w:r>
    </w:p>
    <w:p>
      <w:pPr>
        <w:pStyle w:val="Title"/>
      </w:pPr>
      <w:r>
        <w:t>Engl. transl.: Preventing Interpersonal Violence in Adolescence: A New Generation of Evidence-based Interventions (PSI2017-86723-R)</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12-16 years old</w:t>
      </w:r>
    </w:p>
    <w:p>
      <w:pPr>
        <w:pStyle w:val="Heading2"/>
      </w:pPr>
      <w:bookmarkStart w:id="10" w:name="_Toc12"/>
      <w:r>
        <w:t>Funder</w:t>
      </w:r>
      <w:bookmarkEnd w:id="10"/>
    </w:p>
    <w:p>
      <w:pPr/>
      <w:r>
        <w:rPr/>
        <w:t xml:space="preserve">Spanish Ministry of Economy and Competitiveness (PSI2017-86723-R); Spanish Ministry of Universities (FPU15/05037)</w:t>
      </w:r>
    </w:p>
    <w:p>
      <w:pPr>
        <w:pStyle w:val="Heading2"/>
      </w:pPr>
      <w:bookmarkStart w:id="11" w:name="_Toc13"/>
      <w:r>
        <w:t>Funder Types</w:t>
      </w:r>
      <w:bookmarkEnd w:id="11"/>
    </w:p>
    <w:p>
      <w:pPr>
        <w:pStyle w:val="Heading2"/>
      </w:pPr>
      <w:bookmarkStart w:id="12" w:name="_Toc14"/>
      <w:r>
        <w:t>Has Formal Ethical Clearance</w:t>
      </w:r>
      <w:bookmarkEnd w:id="12"/>
    </w:p>
    <w:p>
      <w:pPr>
        <w:pStyle w:val="Heading2"/>
      </w:pPr>
      <w:bookmarkStart w:id="13" w:name="_Toc15"/>
      <w:r>
        <w:t>Consents</w:t>
      </w:r>
      <w:bookmarkEnd w:id="13"/>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numPr>
          <w:ilvl w:val="0"/>
          <w:numId w:val="5"/>
        </w:numPr>
      </w:pPr>
      <w:r>
        <w:rPr/>
        <w:t xml:space="preserve">Other</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and/or protocol mentioned in the research design</w:t>
      </w:r>
    </w:p>
    <w:p>
      <w:pPr>
        <w:pStyle w:val="Heading2"/>
      </w:pPr>
      <w:bookmarkStart w:id="16" w:name="_Toc18"/>
      <w:r>
        <w:t>URL</w:t>
      </w:r>
      <w:bookmarkEnd w:id="16"/>
    </w:p>
    <w:p>
      <w:pPr/>
      <w:r>
        <w:rPr/>
        <w:t xml:space="preserve">https://www.researchgate.net/project/Prevencion-de-la-Violencia-Interpersonal-en-la-Adolescencia-una-Nueva-Generacion-de-Intervenciones-Basadas-en-la-Evidencia-PSI2017-86723-R</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This study is part of a project that has two general objectives. The first is to test an explanatory model of interpersonal violence in adolescence based on individual socioemotional factors and the peer network. The second, to design, implement and evaluate the effectiveness of a comprehensive psychoeducational programme against interpersonal violence in adolescence (PREVENT programme).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49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2025-10-14T06:54:03+00:00</dcterms:created>
  <dcterms:modified xsi:type="dcterms:W3CDTF">2025-10-14T06:54:03+00:00</dcterms:modified>
</cp:coreProperties>
</file>

<file path=docProps/custom.xml><?xml version="1.0" encoding="utf-8"?>
<Properties xmlns="http://schemas.openxmlformats.org/officeDocument/2006/custom-properties" xmlns:vt="http://schemas.openxmlformats.org/officeDocument/2006/docPropsVTypes"/>
</file>