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Not Just Offenders: Youth as victims of crime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2013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National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Malta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Mixed methods</w:t>
      </w:r>
    </w:p>
    <w:p>
      <w:pPr>
        <w:pStyle w:val="Heading2"/>
      </w:pPr>
      <w:bookmarkStart w:id="6" w:name="_Toc7"/>
      <w:r>
        <w:t>Methodologies</w:t>
      </w:r>
      <w:bookmarkEnd w:id="6"/>
    </w:p>
    <w:p>
      <w:pPr>
        <w:pStyle w:val="Heading2"/>
      </w:pPr>
      <w:bookmarkStart w:id="7" w:name="_Toc8"/>
      <w:r>
        <w:t>Researched Groups</w:t>
      </w:r>
      <w:bookmarkEnd w:id="7"/>
    </w:p>
    <w:p>
      <w:pPr>
        <w:pStyle w:val="Heading2"/>
      </w:pPr>
      <w:bookmarkStart w:id="8" w:name="_Toc9"/>
      <w:r>
        <w:t>Children Ages</w:t>
      </w:r>
      <w:bookmarkEnd w:id="8"/>
    </w:p>
    <w:p>
      <w:pPr/>
      <w:r>
        <w:rPr/>
        <w:t xml:space="preserve">Other</w:t>
      </w:r>
    </w:p>
    <w:p>
      <w:pPr>
        <w:pStyle w:val="Heading2"/>
      </w:pPr>
      <w:bookmarkStart w:id="9" w:name="_Toc10"/>
      <w:r>
        <w:t>Other Childrens Age Group</w:t>
      </w:r>
      <w:bookmarkEnd w:id="9"/>
    </w:p>
    <w:p>
      <w:pPr/>
      <w:r>
        <w:rPr/>
        <w:t xml:space="preserve">13-29 years old</w:t>
      </w:r>
    </w:p>
    <w:p>
      <w:pPr>
        <w:pStyle w:val="Heading2"/>
      </w:pPr>
      <w:bookmarkStart w:id="10" w:name="_Toc11"/>
      <w:r>
        <w:t>Funder</w:t>
      </w:r>
      <w:bookmarkEnd w:id="10"/>
    </w:p>
    <w:p>
      <w:pPr/>
      <w:r>
        <w:rPr/>
        <w:t xml:space="preserve">The Malta Community Chest Fund</w:t>
      </w:r>
    </w:p>
    <w:p>
      <w:pPr>
        <w:pStyle w:val="Heading2"/>
      </w:pPr>
      <w:bookmarkStart w:id="11" w:name="_Toc12"/>
      <w:r>
        <w:t>Funder Types</w:t>
      </w:r>
      <w:bookmarkEnd w:id="11"/>
    </w:p>
    <w:p>
      <w:pPr/>
      <w:r>
        <w:rPr/>
        <w:t xml:space="preserve">Foundation</w:t>
      </w:r>
    </w:p>
    <w:p>
      <w:pPr>
        <w:pStyle w:val="Heading2"/>
      </w:pPr>
      <w:bookmarkStart w:id="12" w:name="_Toc13"/>
      <w:r>
        <w:t>Informed Consent</w:t>
      </w:r>
      <w:bookmarkEnd w:id="12"/>
    </w:p>
    <w:p>
      <w:pPr/>
      <w:r>
        <w:rPr/>
        <w:t xml:space="preserve">Consent not mentioned</w:t>
      </w:r>
    </w:p>
    <w:p>
      <w:pPr>
        <w:pStyle w:val="Heading2"/>
      </w:pPr>
      <w:bookmarkStart w:id="13" w:name="_Toc14"/>
      <w:r>
        <w:t>Ethics</w:t>
      </w:r>
      <w:bookmarkEnd w:id="13"/>
    </w:p>
    <w:p>
      <w:pPr/>
      <w:r>
        <w:rPr/>
        <w:t xml:space="preserve">Ethical considerations not mentioned</w:t>
      </w:r>
    </w:p>
    <w:p>
      <w:pPr>
        <w:pStyle w:val="Heading2"/>
      </w:pPr>
      <w:bookmarkStart w:id="14" w:name="_Toc15"/>
      <w:r>
        <w:t>URL</w:t>
      </w:r>
      <w:bookmarkEnd w:id="14"/>
    </w:p>
    <w:p>
      <w:pPr/>
      <w:r>
        <w:rPr/>
        <w:t xml:space="preserve">https://victimsupport.org.mt/portfolio_page/victim-support-for-youth/</w:t>
      </w:r>
    </w:p>
    <w:p>
      <w:pPr>
        <w:pStyle w:val="Heading2"/>
      </w:pPr>
      <w:bookmarkStart w:id="15" w:name="_Toc16"/>
      <w:r>
        <w:t>Data Set Availability</w:t>
      </w:r>
      <w:bookmarkEnd w:id="15"/>
    </w:p>
    <w:p>
      <w:pPr/>
      <w:r>
        <w:rPr/>
        <w:t xml:space="preserve">Not mentioned</w:t>
      </w:r>
    </w:p>
    <w:p>
      <w:pPr>
        <w:pStyle w:val="Heading1"/>
      </w:pPr>
      <w:bookmarkStart w:id="16" w:name="_Toc17"/>
      <w:r>
        <w:t>Goals</w:t>
      </w:r>
      <w:bookmarkEnd w:id="16"/>
    </w:p>
    <w:p>
      <w:pPr/>
      <w:r>
        <w:rPr/>
        <w:t xml:space="preserve">This project "is primarily intended as a local basic resource in the area of youth victimisation. Bringing together a basic but comprehensive review of the main local and international literature and research findings on the subject, it should provide the reader with a general understanding of youth victimisation, together with the ensuing repercussions, both short-term and (often) life-long. Looking at the services currently available locally and abroad, the paper finally puts forward a number of observations and suggestions for future reference" (Victim Support Malta, 2014; p. 10).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2025-04-07T09:32:26+00:00</dcterms:created>
  <dcterms:modified xsi:type="dcterms:W3CDTF">2025-04-07T09:32:26+00:00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