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influence of animated cartoons on primary children's views of social reality: an ethnographic study in a Maltese primary school</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National</w:t></w:r></w:p><w:p><w:pPr><w:pStyle w:val="Heading2"/></w:pPr><w:bookmarkStart w:id="4" w:name="_Toc5"/><w:r><w:t>Countries</w:t></w:r><w:bookmarkEnd w:id="4"/></w:p><w:p><w:pPr/><w:r><w:rPr/><w:t xml:space="preserve">Malta</w:t></w:r></w:p><w:p><w:pPr><w:pStyle w:val="Heading2"/></w:pPr><w:bookmarkStart w:id="5" w:name="_Toc6"/><w:r><w:t>Type</w:t></w:r><w:bookmarkEnd w:id="5"/></w:p><w:p><w:pPr/><w:r><w:rPr/><w:t xml:space="preserve">Empirical research – Mixed methods</w:t></w:r></w:p><w:p><w:pPr><w:pStyle w:val="Heading2"/></w:pPr><w:bookmarkStart w:id="6" w:name="_Toc7"/><w:r><w:t>Methodologies</w:t></w:r><w:bookmarkEnd w:id="6"/></w:p><w:p><w:pPr><w:numPr><w:ilvl w:val="0"/><w:numId w:val="5"/></w:numPr></w:pPr><w:r><w:rPr/><w:t xml:space="preserve">Survey</w:t></w:r></w:p><w:p><w:pPr><w:numPr><w:ilvl w:val="0"/><w:numId w:val="5"/></w:numPr></w:pPr><w:r><w:rPr/><w:t xml:space="preserve">Interview</w:t></w:r></w:p><w:p><w:pPr><w:numPr><w:ilvl w:val="0"/><w:numId w:val="5"/></w:numPr></w:pPr><w:r><w:rPr/><w:t xml:space="preserve">Ethnography / participant observation</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Other</w:t></w:r></w:p><w:p><w:pPr><w:pStyle w:val="Heading2"/></w:pPr><w:bookmarkStart w:id="9" w:name="_Toc10"/><w:r><w:t>Other Childrens Age Group</w:t></w:r><w:bookmarkEnd w:id="9"/></w:p><w:p><w:pPr/><w:r><w:rPr/><w:t xml:space="preserve">9-10 years old</w:t></w:r></w:p><w:p><w:pPr><w:pStyle w:val="Heading2"/></w:pPr><w:bookmarkStart w:id="10" w:name="_Toc11"/><w:r><w:t>Has Formal Ethical Clearance</w:t></w:r><w:bookmarkEnd w:id="10"/></w:p><w:p><w:pPr><w:pStyle w:val="Heading2"/></w:pPr><w:bookmarkStart w:id="11" w:name="_Toc12"/><w:r><w:t>Informed Consent</w:t></w:r><w:bookmarkEnd w:id="11"/></w:p><w:p><w:pPr/><w:r><w:rPr/><w:t xml:space="preserve">Consent not mentioned</w:t></w:r></w:p><w:p><w:pPr><w:pStyle w:val="Heading2"/></w:pPr><w:bookmarkStart w:id="12" w:name="_Toc13"/><w:r><w:t>Ethics</w:t></w:r><w:bookmarkEnd w:id="12"/></w:p><w:p><w:pPr/><w:r><w:rPr/><w:t xml:space="preserve">Ethical considerations and/or protocol mentioned in the research design</w:t></w:r></w:p><w:p><w:pPr><w:pStyle w:val="Heading2"/></w:pPr><w:bookmarkStart w:id="13" w:name="_Toc14"/><w:r><w:t>Data Set Availability</w:t></w:r><w:bookmarkEnd w:id="13"/></w:p><w:p><w:pPr/><w:r><w:rPr/><w:t xml:space="preserve">Not mentioned</w:t></w:r></w:p><w:p><w:pPr><w:pStyle w:val="Heading1"/></w:pPr><w:bookmarkStart w:id="14" w:name="_Toc15"/><w:r><w:t>Goals</w:t></w:r><w:bookmarkEnd w:id="14"/></w:p><w:p><w:pPr/><w:r><w:rPr/><w:t xml:space="preserve">"It aims to describe the links existing between children’s relationships with animated cartoon characters, their perception of animated cartoon characters as real entities and the influence of animated cartoons on children’s views of social reality. Furthermore, it seeks to derive multimodal educational implications and suggestions which could be used by educators, parents and guardians with primary school children." (Attard & Cremona, 2021; pp. 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A59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2025-10-14T06:52:00+00:00</dcterms:created>
  <dcterms:modified xsi:type="dcterms:W3CDTF">2025-10-14T06:52:00+00:00</dcterms:modified>
</cp:coreProperties>
</file>

<file path=docProps/custom.xml><?xml version="1.0" encoding="utf-8"?>
<Properties xmlns="http://schemas.openxmlformats.org/officeDocument/2006/custom-properties" xmlns:vt="http://schemas.openxmlformats.org/officeDocument/2006/docPropsVTypes"/>
</file>