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Дистанционното обучение и уменията по медийна грамотност</w:t>
      </w:r>
    </w:p>
    <w:p>
      <w:pPr>
        <w:pStyle w:val="Title"/>
      </w:pPr>
      <w:r>
        <w:t>Engl. transl.: Distance learning and media literacy skills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US Embassy in Bulgaria Small Grants Program</w:t>
      </w:r>
    </w:p>
    <w:p>
      <w:pPr>
        <w:pStyle w:val="Heading2"/>
      </w:pPr>
      <w:bookmarkStart w:id="10" w:name="_Toc12"/>
      <w:r>
        <w:t>Funder Types</w:t>
      </w:r>
      <w:bookmarkEnd w:id="10"/>
    </w:p>
    <w:p>
      <w:pPr/>
      <w:r>
        <w:rPr/>
        <w:t xml:space="preserve">Other</w:t>
      </w:r>
    </w:p>
    <w:p>
      <w:pPr>
        <w:pStyle w:val="Heading2"/>
      </w:pPr>
      <w:bookmarkStart w:id="11" w:name="_Toc13"/>
      <w:r>
        <w:t>Other Funder Type</w:t>
      </w:r>
      <w:bookmarkEnd w:id="11"/>
    </w:p>
    <w:p>
      <w:pPr/>
      <w:r>
        <w:rPr/>
        <w:t xml:space="preserve">US Embassy in Bulgaria Small Grants Program</w:t>
      </w:r>
    </w:p>
    <w:p>
      <w:pPr>
        <w:pStyle w:val="Heading2"/>
      </w:pPr>
      <w:bookmarkStart w:id="12" w:name="_Toc14"/>
      <w:r>
        <w:t>Informed Consent</w:t>
      </w:r>
      <w:bookmarkEnd w:id="12"/>
    </w:p>
    <w:p>
      <w:pPr/>
      <w:r>
        <w:rPr/>
        <w:t xml:space="preserve">No consent needed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https://gramoten.li/%d0%b8%d0%b7%d1%81%d0%bb%d0%b5%d0%b4%d0%b2%d0%b0%d0%bd%d0%b8%d1%8f/</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At the end of May and the beginning of June 2020, the Media Literacy Coalition conducted surveys - among students and teachers - in relation to distance learning from the point of view of the development of digital skills and media information literacy. A total of 481 students and teachers took part in the surveys by filling in anonymous questionnaires, which aim to explore a certain aspect (activities, methods, approaches) of the learning process in a virtual environment that is relevant to the development of students' digital skills and media literacy. Based on the results and of the analysis of the two surveys, both the deficits and the good examples and practices in the work of teachers were identified and the next steps related to the development of methodology and resources for overcoming the difficulties were outlined.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40F8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2025-10-14T07:04:02+00:00</dcterms:created>
  <dcterms:modified xsi:type="dcterms:W3CDTF">2025-10-14T07:04:02+00:00</dcterms:modified>
</cp:coreProperties>
</file>

<file path=docProps/custom.xml><?xml version="1.0" encoding="utf-8"?>
<Properties xmlns="http://schemas.openxmlformats.org/officeDocument/2006/custom-properties" xmlns:vt="http://schemas.openxmlformats.org/officeDocument/2006/docPropsVTypes"/>
</file>