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9–13-aastaste Eesti noorte vaatamiseelistused YouTube’is ja eetiliselt probleemse sisu tõlgendused</w:t>
      </w:r>
    </w:p>
    <w:p>
      <w:pPr>
        <w:pStyle w:val="Title"/>
      </w:pPr>
      <w:r>
        <w:t>Engl. transl.: YouTube viewing preferences of 9–13-year old Estonians and their interpretations of ethically problematic content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Consents</w:t>
      </w:r>
      <w:bookmarkEnd w:id="9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"The aim of the study was to investigate the YouTube viewing preferences of 9–13-year old Estonian children and their interpretation of ethically problematic content in YouTube." (Miil, 2019, p. 40)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434E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2025-10-14T13:25:27+00:00</dcterms:created>
  <dcterms:modified xsi:type="dcterms:W3CDTF">2025-10-14T13:25:27+00:00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