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Sociodemographic characteristics of young people using internet cafés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Young adults (19-24 Years old)</w:t></w:r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Informed Consent</w:t></w:r><w:bookmarkEnd w:id="10"/></w:p><w:p><w:pPr/><w:r><w:rPr/><w:t xml:space="preserve">Consent not mentioned</w:t></w:r></w:p><w:p><w:pPr><w:pStyle w:val="Heading2"/></w:pPr><w:bookmarkStart w:id="11" w:name="_Toc12"/><w:r><w:t>Ethics</w:t></w:r><w:bookmarkEnd w:id="11"/></w:p><w:p><w:pPr/><w:r><w:rPr/><w:t xml:space="preserve">Ethical considerations and/or protocol mentioned in the research design</w:t></w:r></w:p><w:p><w:pPr><w:pStyle w:val="Heading2"/></w:pPr><w:bookmarkStart w:id="12" w:name="_Toc13"/><w:r><w:t>Data Set Availability</w:t></w:r><w:bookmarkEnd w:id="12"/></w:p><w:p><w:pPr/><w:r><w:rPr/><w:t xml:space="preserve">Not mentioned</w:t></w:r></w:p><w:p><w:pPr><w:pStyle w:val="Heading1"/></w:pPr><w:bookmarkStart w:id="13" w:name="_Toc14"/><w:r><w:t>Goals</w:t></w:r><w:bookmarkEnd w:id="13"/></w:p><w:p><w:pPr/><w:r><w:rPr/><w:t xml:space="preserve">"The aim of the present study was to determine the sociodemographic characteristics of young people using internet cafés and the reasons why they prefer using internet cafes." (Özsoy & Kulu, 2019, p.335)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2025-10-31T03:56:43+00:00</dcterms:created>
  <dcterms:modified xsi:type="dcterms:W3CDTF">2025-10-31T03:56:43+00:00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