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Modern Danger for Adolescents: From Online Flirtation to Sexual Abuse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Scope</w:t></w:r><w:bookmarkEnd w:id="3"/></w:p><w:p><w:pPr/><w:r><w:rPr/><w:t xml:space="preserve">National</w:t></w:r></w:p><w:p><w:pPr><w:pStyle w:val="Heading2"/></w:pPr><w:bookmarkStart w:id="4" w:name="_Toc5"/><w:r><w:t>Countries</w:t></w:r><w:bookmarkEnd w:id="4"/></w:p><w:p><w:pPr/><w:r><w:rPr/><w:t xml:space="preserve">Turkey</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Other</w:t></w:r></w:p><w:p><w:pPr><w:pStyle w:val="Heading2"/></w:pPr><w:bookmarkStart w:id="7" w:name="_Toc8"/><w:r><w:t>Other Methodology</w:t></w:r><w:bookmarkEnd w:id="7"/></w:p><w:p><w:pPr/><w:r><w:rPr/><w:t xml:space="preserve">Judicial Records; Forensic Examination and Psychiatric Assessment Reports</w:t></w:r></w:p><w:p><w:pPr><w:pStyle w:val="Heading2"/></w:pPr><w:bookmarkStart w:id="8" w:name="_Toc9"/><w:r><w:t>Researched Groups</w:t></w:r><w:bookmarkEnd w:id="8"/></w:p><w:p><w:pPr><w:pStyle w:val="Heading2"/></w:pPr><w:bookmarkStart w:id="9" w:name="_Toc10"/><w:r><w:t>Children Ages</w:t></w:r><w:bookmarkEnd w:id="9"/></w:p><w:p><w:pPr><w:numPr><w:ilvl w:val="0"/><w:numId w:val="5"/></w:numPr></w:pPr><w:r><w:rPr/><w:t xml:space="preserve">Kids (6-10 Years old)</w:t></w:r></w:p><w:p><w:pPr><w:numPr><w:ilvl w:val="0"/><w:numId w:val="5"/></w:numPr></w:pPr><w:r><w:rPr/><w:t xml:space="preserve">Pre-adolescents (11-13 Years old)</w:t></w:r></w:p><w:p><w:pPr><w:numPr><w:ilvl w:val="0"/><w:numId w:val="5"/></w:numPr></w:pPr><w:r><w:rPr/><w:t xml:space="preserve">Adolescents (14-18 Years old)</w:t></w:r></w:p><w:p><w:pPr><w:pStyle w:val="Heading2"/></w:pPr><w:bookmarkStart w:id="10" w:name="_Toc11"/><w:r><w:t>Has Formal Ethical Clearance</w:t></w:r><w:bookmarkEnd w:id="10"/></w:p><w:p><w:pPr><w:pStyle w:val="Heading2"/></w:pPr><w:bookmarkStart w:id="11" w:name="_Toc12"/><w:r><w:t>Informed Consent</w:t></w:r><w:bookmarkEnd w:id="11"/></w:p><w:p><w:pPr/><w:r><w:rPr/><w:t xml:space="preserve">No consent needed</w:t></w:r></w:p><w:p><w:pPr><w:pStyle w:val="Heading2"/></w:pPr><w:bookmarkStart w:id="12" w:name="_Toc13"/><w:r><w:t>Ethics</w:t></w:r><w:bookmarkEnd w:id="12"/></w:p><w:p><w:pPr/><w:r><w:rPr/><w:t xml:space="preserve">Ethical considerations and/or protocol mentioned in the research design</w:t></w:r></w:p><w:p><w:pPr><w:pStyle w:val="Heading2"/></w:pPr><w:bookmarkStart w:id="13" w:name="_Toc14"/><w:r><w:t>Data Set Availability</w:t></w:r><w:bookmarkEnd w:id="13"/></w:p><w:p><w:pPr/><w:r><w:rPr/><w:t xml:space="preserve">Not mentioned</w:t></w:r></w:p><w:p><w:pPr><w:pStyle w:val="Heading1"/></w:pPr><w:bookmarkStart w:id="14" w:name="_Toc15"/><w:r><w:t>Goals</w:t></w:r><w:bookmarkEnd w:id="14"/></w:p><w:p><w:pPr/><w:r><w:rPr/><w:t xml:space="preserve">"Our study aimed to examine the individual and family characteristics of children who met people on the Internet and were exposed to sexual abuse, as well as the characteristics of the incidents." (Koçtürk & Yüksel, 2018, p.296)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18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2025-10-15T23:04:15+00:00</dcterms:created>
  <dcterms:modified xsi:type="dcterms:W3CDTF">2025-10-15T23:04:15+00:00</dcterms:modified>
</cp:coreProperties>
</file>

<file path=docProps/custom.xml><?xml version="1.0" encoding="utf-8"?>
<Properties xmlns="http://schemas.openxmlformats.org/officeDocument/2006/custom-properties" xmlns:vt="http://schemas.openxmlformats.org/officeDocument/2006/docPropsVTypes"/>
</file>