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The association between problematic smartphone use, depression, and anxiety symptom severity and objectively measured smartphone use over one week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Other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Online quantitative methods (e.g. Online survey)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9"/>
      <w:r>
        <w:t>Other Researched Group</w:t>
      </w:r>
      <w:bookmarkEnd w:id="8"/>
    </w:p>
    <w:p>
      <w:pPr/>
      <w:r>
        <w:rPr/>
        <w:t xml:space="preserve">College students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Young adults (19-24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Other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not mentioned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"Our aim was to investigate how self-reported levels of problematic smartphone use, depression, anxiety, and daily depressive mood relate to objectively measured smartphone use over one week." (Rozgonjuk et al., 2018, p. 10)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2025-10-28T10:07:57+00:00</dcterms:created>
  <dcterms:modified xsi:type="dcterms:W3CDTF">2025-10-28T10:07:57+00:00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