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Bullying, and Connected. Common Pathways to Cyberbullying and Problematic Internet Use in Adolescence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0"/>
      <w:r>
        <w:t>Funder</w:t>
      </w:r>
      <w:bookmarkEnd w:id="9"/>
    </w:p>
    <w:p>
      <w:pPr/>
      <w:r>
        <w:rPr/>
        <w:t xml:space="preserve">Comitato Regionale per le Comunicazioni della Regione Emilia-Romagna (CORECOM)</w:t>
      </w:r>
    </w:p>
    <w:p>
      <w:pPr>
        <w:pStyle w:val="Heading2"/>
      </w:pPr>
      <w:bookmarkStart w:id="10" w:name="_Toc11"/>
      <w:r>
        <w:t>Funder Types</w:t>
      </w:r>
      <w:bookmarkEnd w:id="10"/>
    </w:p>
    <w:p>
      <w:pPr/>
      <w:r>
        <w:rPr/>
        <w:t xml:space="preserve">Regional Government</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"In accordance with the ecological framework, our study
sought to investigate two main levels of the ecological system such
as individual factors (emotional symptoms) and environmental
factors (parental monitoring) on PIU [Problematic Internet Use] and CBP (Cyberbullying perpetration), taking into account time spent online as mediator.
[...] we hypothesized that
emotional symptoms and parental monitoring would have
both a direct effect on CBP and PIU and an indirect effect
mediated by the influence of time that young people spent
online. In addition, since literature has outlined that risk and
protective factors can be differently modulated across genders
(Guo, 2016), the proposed model was tested among male
and female groups. Our study accounted for both risk and
protective factors at individual and family levels, by exploring
both their direct relation and their mediated relation with
CBP and PIU, thus contributing to advance the knowledge
regarding the way young people can be protected against
these phenomena." (Brighi et al., 2019,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5A1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2025-11-05T00:34:27+00:00</dcterms:created>
  <dcterms:modified xsi:type="dcterms:W3CDTF">2025-11-05T00:34:27+00:00</dcterms:modified>
</cp:coreProperties>
</file>

<file path=docProps/custom.xml><?xml version="1.0" encoding="utf-8"?>
<Properties xmlns="http://schemas.openxmlformats.org/officeDocument/2006/custom-properties" xmlns:vt="http://schemas.openxmlformats.org/officeDocument/2006/docPropsVTypes"/>
</file>