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Дистанционното обучение по време на кризата с COVID-19. Предизвикателства пред образователната интеграция на учениците от ромската общност</w:t>
      </w:r>
    </w:p>
    <w:p>
      <w:pPr>
        <w:pStyle w:val="Title"/>
      </w:pPr>
      <w:r>
        <w:t>Engl. transl.: Distance learning during the crisis with COVID-19. Challenges for the educational integration of students from the Roma community</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Bulgaria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Online quantitative methods (e.g. Online survey)</w:t>
      </w:r>
    </w:p>
    <w:p>
      <w:pPr>
        <w:numPr>
          <w:ilvl w:val="0"/>
          <w:numId w:val="5"/>
        </w:numPr>
      </w:pPr>
      <w:r>
        <w:rPr/>
        <w:t xml:space="preserve">Textual / documentary / content analysis</w:t>
      </w:r>
    </w:p>
    <w:p>
      <w:pPr>
        <w:numPr>
          <w:ilvl w:val="0"/>
          <w:numId w:val="5"/>
        </w:numPr>
      </w:pPr>
      <w:r>
        <w:rPr/>
        <w:t xml:space="preserve">Ethnography / participant observation</w:t>
      </w:r>
    </w:p>
    <w:p>
      <w:pPr>
        <w:pStyle w:val="Heading2"/>
      </w:pPr>
      <w:bookmarkStart w:id="7" w:name="_Toc9"/>
      <w:r>
        <w:t>Researched Groups</w:t>
      </w:r>
      <w:bookmarkEnd w:id="7"/>
    </w:p>
    <w:p>
      <w:pPr/>
      <w:r>
        <w:rPr/>
        <w:t xml:space="preserve">Schools (Institutions)</w:t>
      </w:r>
    </w:p>
    <w:p>
      <w:pPr>
        <w:pStyle w:val="Heading2"/>
      </w:pPr>
      <w:bookmarkStart w:id="8" w:name="_Toc10"/>
      <w:r>
        <w:t>Funder</w:t>
      </w:r>
      <w:bookmarkEnd w:id="8"/>
    </w:p>
    <w:p>
      <w:pPr/>
      <w:r>
        <w:rPr/>
        <w:t xml:space="preserve">Friedrich Ebert Stiftung</w:t>
      </w:r>
    </w:p>
    <w:p>
      <w:pPr>
        <w:pStyle w:val="Heading2"/>
      </w:pPr>
      <w:bookmarkStart w:id="9" w:name="_Toc11"/>
      <w:r>
        <w:t>Funder Types</w:t>
      </w:r>
      <w:bookmarkEnd w:id="9"/>
    </w:p>
    <w:p>
      <w:pPr/>
      <w:r>
        <w:rPr/>
        <w:t xml:space="preserve">NGO (Advocacy, Charity, Consumer  organization)</w:t>
      </w:r>
    </w:p>
    <w:p>
      <w:pPr>
        <w:pStyle w:val="Heading2"/>
      </w:pPr>
      <w:bookmarkStart w:id="10" w:name="_Toc12"/>
      <w:r>
        <w:t>Informed Consent</w:t>
      </w:r>
      <w:bookmarkEnd w:id="10"/>
    </w:p>
    <w:p>
      <w:pPr/>
      <w:r>
        <w:rPr/>
        <w:t xml:space="preserve">No consent needed</w:t>
      </w:r>
    </w:p>
    <w:p>
      <w:pPr>
        <w:pStyle w:val="Heading2"/>
      </w:pPr>
      <w:bookmarkStart w:id="11" w:name="_Toc13"/>
      <w:r>
        <w:t>Ethics</w:t>
      </w:r>
      <w:bookmarkEnd w:id="11"/>
    </w:p>
    <w:p>
      <w:pPr/>
      <w:r>
        <w:rPr/>
        <w:t xml:space="preserve">Ethical considerations not mentioned</w:t>
      </w:r>
    </w:p>
    <w:p>
      <w:pPr>
        <w:pStyle w:val="Heading2"/>
      </w:pPr>
      <w:bookmarkStart w:id="12" w:name="_Toc14"/>
      <w:r>
        <w:t>URL</w:t>
      </w:r>
      <w:bookmarkEnd w:id="12"/>
    </w:p>
    <w:p>
      <w:pPr/>
      <w:r>
        <w:rPr/>
        <w:t xml:space="preserve">https://amalipe.bg</w:t>
      </w:r>
    </w:p>
    <w:p>
      <w:pPr>
        <w:pStyle w:val="Heading2"/>
      </w:pPr>
      <w:bookmarkStart w:id="13" w:name="_Toc15"/>
      <w:r>
        <w:t>Data Set Availability</w:t>
      </w:r>
      <w:bookmarkEnd w:id="13"/>
    </w:p>
    <w:p>
      <w:pPr/>
      <w:r>
        <w:rPr/>
        <w:t xml:space="preserve">Not mentioned</w:t>
      </w:r>
    </w:p>
    <w:p>
      <w:pPr>
        <w:pStyle w:val="Heading1"/>
      </w:pPr>
      <w:bookmarkStart w:id="14" w:name="_Toc16"/>
      <w:r>
        <w:t>Goals</w:t>
      </w:r>
      <w:bookmarkEnd w:id="14"/>
    </w:p>
    <w:p>
      <w:pPr/>
      <w:r>
        <w:rPr/>
        <w:t xml:space="preserve">The challenges posed by the pandemic to Roma families and schools educating students from the Roma community increase the need for urgent political action regarding the educational integration of Roma. How did they cope with the introduction of distance learning after March 16 and what lessons can be learned from their experience? The study introduces the specific dimensions of the serious problem regarding the educational integration of Roma, analyzing the empirical data from two field studies conducted among 200 schools with a concentration of students from vulnerable groups, in particular Roma students, as well as documents and events during the distance learning from the second term of the 2019/2020 school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BD7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2025-10-15T20:11:05+00:00</dcterms:created>
  <dcterms:modified xsi:type="dcterms:W3CDTF">2025-10-15T20:11:05+00:00</dcterms:modified>
</cp:coreProperties>
</file>

<file path=docProps/custom.xml><?xml version="1.0" encoding="utf-8"?>
<Properties xmlns="http://schemas.openxmlformats.org/officeDocument/2006/custom-properties" xmlns:vt="http://schemas.openxmlformats.org/officeDocument/2006/docPropsVTypes"/>
</file>