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Youtubers e Instagramers: la competencia mediática en los prosumidores emergentes</w:t>
      </w:r>
    </w:p>
    <w:p>
      <w:pPr>
        <w:pStyle w:val="Title"/>
      </w:pPr>
      <w:r>
        <w:t>Engl. transl.: YouTubers and Instagrammers: Media literacy in emerging prosumers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Spain</w:t>
      </w:r>
    </w:p>
    <w:p>
      <w:pPr>
        <w:numPr>
          <w:ilvl w:val="0"/>
          <w:numId w:val="5"/>
        </w:numPr>
      </w:pPr>
      <w:r>
        <w:rPr/>
        <w:t xml:space="preserve">Portugal</w:t>
      </w:r>
    </w:p>
    <w:p>
      <w:pPr>
        <w:numPr>
          <w:ilvl w:val="0"/>
          <w:numId w:val="5"/>
        </w:numPr>
      </w:pPr>
      <w:r>
        <w:rPr/>
        <w:t xml:space="preserve">Other</w:t>
      </w:r>
    </w:p>
    <w:p>
      <w:pPr>
        <w:pStyle w:val="Heading2"/>
      </w:pPr>
      <w:bookmarkStart w:id="5" w:name="_Toc7"/>
      <w:r>
        <w:t>Type</w:t>
      </w:r>
      <w:bookmarkEnd w:id="5"/>
    </w:p>
    <w:p>
      <w:pPr/>
      <w:r>
        <w:rPr/>
        <w:t xml:space="preserve">Empirical research – Mixed methods</w:t>
      </w:r>
    </w:p>
    <w:p>
      <w:pPr>
        <w:pStyle w:val="Heading2"/>
      </w:pPr>
      <w:bookmarkStart w:id="6" w:name="_Toc8"/>
      <w:r>
        <w:t>Researched Groups</w:t>
      </w:r>
      <w:bookmarkEnd w:id="6"/>
    </w:p>
    <w:p>
      <w:pPr/>
      <w:r>
        <w:rPr/>
        <w:t xml:space="preserve">Children</w:t>
      </w:r>
    </w:p>
    <w:p>
      <w:pPr>
        <w:pStyle w:val="Heading2"/>
      </w:pPr>
      <w:bookmarkStart w:id="7" w:name="_Toc9"/>
      <w:r>
        <w:t>Children Ages</w:t>
      </w:r>
      <w:bookmarkEnd w:id="7"/>
    </w:p>
    <w:p>
      <w:pPr/>
      <w:r>
        <w:rPr/>
        <w:t xml:space="preserve">Other</w:t>
      </w:r>
    </w:p>
    <w:p>
      <w:pPr>
        <w:pStyle w:val="Heading2"/>
      </w:pPr>
      <w:bookmarkStart w:id="8" w:name="_Toc10"/>
      <w:r>
        <w:t>Other Childrens Age Group</w:t>
      </w:r>
      <w:bookmarkEnd w:id="8"/>
    </w:p>
    <w:p>
      <w:pPr/>
      <w:r>
        <w:rPr/>
        <w:t xml:space="preserve">8-14 years old</w:t>
      </w:r>
    </w:p>
    <w:p>
      <w:pPr>
        <w:pStyle w:val="Heading2"/>
      </w:pPr>
      <w:bookmarkStart w:id="9" w:name="_Toc11"/>
      <w:r>
        <w:t>Funder</w:t>
      </w:r>
      <w:bookmarkEnd w:id="9"/>
    </w:p>
    <w:p>
      <w:pPr/>
      <w:r>
        <w:rPr/>
        <w:t xml:space="preserve">EU-European Regional Development Fund (FEDER) ;Spanish Ministry of Economy and Competitiveness</w:t>
      </w:r>
    </w:p>
    <w:p>
      <w:pPr>
        <w:pStyle w:val="Heading2"/>
      </w:pPr>
      <w:bookmarkStart w:id="10" w:name="_Toc12"/>
      <w:r>
        <w:t>Funder Types</w:t>
      </w:r>
      <w:bookmarkEnd w:id="10"/>
    </w:p>
    <w:p>
      <w:pPr>
        <w:pStyle w:val="Heading2"/>
      </w:pPr>
      <w:bookmarkStart w:id="11" w:name="_Toc13"/>
      <w:r>
        <w:t>Informed Consent</w:t>
      </w:r>
      <w:bookmarkEnd w:id="11"/>
    </w:p>
    <w:p>
      <w:pPr/>
      <w:r>
        <w:rPr/>
        <w:t xml:space="preserve">Consent not mentioned</w:t>
      </w:r>
    </w:p>
    <w:p>
      <w:pPr>
        <w:pStyle w:val="Heading2"/>
      </w:pPr>
      <w:bookmarkStart w:id="12" w:name="_Toc14"/>
      <w:r>
        <w:t>URL</w:t>
      </w:r>
      <w:bookmarkEnd w:id="12"/>
    </w:p>
    <w:p>
      <w:pPr/>
      <w:r>
        <w:rPr/>
        <w:t xml:space="preserve">https://yougrammersid.wixsite.com/yougrammers?lang=en</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Evaluate the media competence of different agents of consumption and production in two social media: YouTube and Instagram, in the face of the relevance and influence of these communicative and participatory practices in today's society and analyze the ways of communication, typologies and profiles, as well as the innovation, diffusion and participation that some of the leaders, Spanish and Latin American, most representative of these platforms or influencers, are promoting in the context of transmedia interaction.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A1C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2025-10-14T13:56:31+00:00</dcterms:created>
  <dcterms:modified xsi:type="dcterms:W3CDTF">2025-10-14T13:56:31+00:00</dcterms:modified>
</cp:coreProperties>
</file>

<file path=docProps/custom.xml><?xml version="1.0" encoding="utf-8"?>
<Properties xmlns="http://schemas.openxmlformats.org/officeDocument/2006/custom-properties" xmlns:vt="http://schemas.openxmlformats.org/officeDocument/2006/docPropsVTypes"/>
</file>