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REDCON “Redes sociales, adolescentes y jóvenes: convergencia de medios y cultura digital” (CSO2016-74980-C2-2-R)</w:t>
      </w:r>
    </w:p>
    <w:p>
      <w:pPr>
        <w:pStyle w:val="Title"/>
      </w:pPr>
      <w:r>
        <w:t>Engl. transl.: REDCON "Social networks, teenagers and young people: media convergence and digital culture" (CSO2016-74980-C2-2-R)</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Mixed methods</w:t>
      </w:r>
    </w:p>
    <w:p>
      <w:pPr>
        <w:pStyle w:val="Heading2"/>
      </w:pPr>
      <w:bookmarkStart w:id="6" w:name="_Toc8"/>
      <w:r>
        <w:t>Researched Groups</w:t>
      </w:r>
      <w:bookmarkEnd w:id="6"/>
    </w:p>
    <w:p>
      <w:pPr/>
      <w:r>
        <w:rPr/>
        <w:t xml:space="preserve">Children</w:t>
      </w:r>
    </w:p>
    <w:p>
      <w:pPr>
        <w:pStyle w:val="Heading2"/>
      </w:pPr>
      <w:bookmarkStart w:id="7" w:name="_Toc9"/>
      <w:r>
        <w:t>Children Ages</w:t>
      </w:r>
      <w:bookmarkEnd w:id="7"/>
    </w:p>
    <w:p>
      <w:pPr/>
      <w:r>
        <w:rPr/>
        <w:t xml:space="preserve">Other</w:t>
      </w:r>
    </w:p>
    <w:p>
      <w:pPr>
        <w:pStyle w:val="Heading2"/>
      </w:pPr>
      <w:bookmarkStart w:id="8" w:name="_Toc10"/>
      <w:r>
        <w:t>Other Childrens Age Group</w:t>
      </w:r>
      <w:bookmarkEnd w:id="8"/>
    </w:p>
    <w:p>
      <w:pPr/>
      <w:r>
        <w:rPr/>
        <w:t xml:space="preserve">13-24 years old</w:t>
      </w:r>
    </w:p>
    <w:p>
      <w:pPr>
        <w:pStyle w:val="Heading2"/>
      </w:pPr>
      <w:bookmarkStart w:id="9" w:name="_Toc11"/>
      <w:r>
        <w:t>Funder</w:t>
      </w:r>
      <w:bookmarkEnd w:id="9"/>
    </w:p>
    <w:p>
      <w:pPr/>
      <w:r>
        <w:rPr/>
        <w:t xml:space="preserve">Ministerio de Economía, Industria y Competitividad (Plan Nacional I+D+i)</w:t>
      </w:r>
    </w:p>
    <w:p>
      <w:pPr>
        <w:pStyle w:val="Heading2"/>
      </w:pPr>
      <w:bookmarkStart w:id="10" w:name="_Toc12"/>
      <w:r>
        <w:t>Funder Types</w:t>
      </w:r>
      <w:bookmarkEnd w:id="10"/>
    </w:p>
    <w:p>
      <w:pPr/>
      <w:r>
        <w:rPr/>
        <w:t xml:space="preserve">National Government / Ministry</w:t>
      </w:r>
    </w:p>
    <w:p>
      <w:pPr>
        <w:pStyle w:val="Heading2"/>
      </w:pPr>
      <w:bookmarkStart w:id="11" w:name="_Toc13"/>
      <w:r>
        <w:t>Consents</w:t>
      </w:r>
      <w:bookmarkEnd w:id="11"/>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https://www.redesyconvergencia.com/</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Systematising and analysing the new communication and interaction patterns of adolescents and young people in the context of the intensive use of social media and instant messaging platforms such as WhatsApp, also in relation to the extension of mobile devices.
Delineation of differentiated uses by adolescents and young people, and the meanings they attach to them, on platforms such as WhatsApp and the social networks Facebook, Twitter, Instagram and YouTube.
Analysis of media consumption and access to current affairs by young people and adolescents as protagonists of media convergence. To study the causes behind the new behaviours of this audience, their approach to the media sphere of social networks, the degree of credibility they give to this content and the basis of this perception.
Study of the risks and vulnerability and determination of the degree of digital and media literacy in these groups, as well as the analysis of the relationship between both aspects. It will also delve into various predictors that may have an impact on the perception of harm and digital skills.
Configuration of the digital citizen in the age range analysed. Use of technologies in the active exercise of this citizenship, self-perception of this concept and level of involvement of adolescents and young people in terms of the link created with the digital community. To find out the type of actions carried out, their involvement with NGOs, social movements or other means of participation.
Design and development of a training and intervention plan on media literacy and citizenship, both aspects in the digital context, within the framework of digital practices of adolescents and young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D6B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2025-11-05T09:26:38+00:00</dcterms:created>
  <dcterms:modified xsi:type="dcterms:W3CDTF">2025-11-05T09:26:38+00:00</dcterms:modified>
</cp:coreProperties>
</file>

<file path=docProps/custom.xml><?xml version="1.0" encoding="utf-8"?>
<Properties xmlns="http://schemas.openxmlformats.org/officeDocument/2006/custom-properties" xmlns:vt="http://schemas.openxmlformats.org/officeDocument/2006/docPropsVTypes"/>
</file>