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Germany</w:t>
      </w:r>
    </w:p>
    <w:p>
      <w:pPr>
        <w:pStyle w:val="Title"/>
      </w:pPr>
      <w:r>
        <w:t>Engl. transl.: EU Kids Online 2018-19: Germany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UNICEF, Deutsche Telekom Stiftung, Medienpädagogischer Forschungsverbund Südwest and Niedersächsische Landesmedienanstalt (NLM).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pStyle w:val="Heading2"/>
      </w:pPr>
      <w:bookmarkStart w:id="11" w:name="_Toc13"/>
      <w:r>
        <w:t>Consents</w:t>
      </w:r>
      <w:bookmarkEnd w:id="11"/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http://www.eukidsonline.net/</w:t>
      </w:r>
    </w:p>
    <w:p>
      <w:pPr>
        <w:pStyle w:val="Heading2"/>
      </w:pPr>
      <w:bookmarkStart w:id="15" w:name="_Toc17"/>
      <w:r>
        <w:t>Data Set Availability</w:t>
      </w:r>
      <w:bookmarkEnd w:id="15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This is data from the German EU Kids Online survey conducted from June 2019 to July 2019.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E4A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2024-05-18T21:46:11+00:00</dcterms:created>
  <dcterms:modified xsi:type="dcterms:W3CDTF">2024-05-18T21:46:11+00:00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