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Zur Rolle von Medien in der Sozialisation sozial benachteiligter Heranwachsender</w:t></w:r></w:p><w:p><w:pPr><w:pStyle w:val="Title"/></w:pPr><w:r><w:t>Engl. transl.: On the role of media within the socialisation of socially disadvantaged children and their families</w:t></w:r></w:p><w:p><w:pPr><w:pStyle w:val="Heading1"/></w:pPr><w:bookmarkStart w:id="1" w:name="_Toc3"/><w:r><w:t>Details</w:t></w:r><w:bookmarkEnd w:id="1"/></w:p><w:p><w:pPr><w:pStyle w:val="Heading2"/></w:pPr><w:bookmarkStart w:id="2" w:name="_Toc4"/><w:r><w:t>Year</w:t></w:r><w:bookmarkEnd w:id="2"/></w:p><w:p><w:pPr/><w:r><w:rPr/><w:t xml:space="preserve">2020</w:t></w:r></w:p><w:p><w:pPr><w:pStyle w:val="Heading2"/></w:pPr><w:bookmarkStart w:id="3" w:name="_Toc5"/><w:r><w:t>Scope</w:t></w:r><w:bookmarkEnd w:id="3"/></w:p><w:p><w:pPr/><w:r><w:rPr/><w:t xml:space="preserve">National</w:t></w:r></w:p><w:p><w:pPr><w:pStyle w:val="Heading2"/></w:pPr><w:bookmarkStart w:id="4" w:name="_Toc6"/><w:r><w:t>Countries</w:t></w:r><w:bookmarkEnd w:id="4"/></w:p><w:p><w:pPr><w:pStyle w:val="Heading2"/></w:pPr><w:bookmarkStart w:id="5" w:name="_Toc7"/><w:r><w:t>Type</w:t></w:r><w:bookmarkEnd w:id="5"/></w:p><w:p><w:pPr/><w:r><w:rPr/><w:t xml:space="preserve">Empirical research – Mixed methods</w:t></w:r></w:p><w:p><w:pPr><w:pStyle w:val="Heading2"/></w:pPr><w:bookmarkStart w:id="6" w:name="_Toc8"/><w:r><w:t>Methodologies</w:t></w:r><w:bookmarkEnd w:id="6"/></w:p><w:p><w:pPr><w:numPr><w:ilvl w:val="0"/><w:numId w:val="5"/></w:numPr></w:pPr><w:r><w:rPr/><w:t xml:space="preserve">Interview</w:t></w:r></w:p><w:p><w:pPr><w:numPr><w:ilvl w:val="0"/><w:numId w:val="5"/></w:numPr></w:pPr><w:r><w:rPr/><w:t xml:space="preserve">Ethnography / participant observation</w:t></w:r></w:p><w:p><w:pPr><w:numPr><w:ilvl w:val="0"/><w:numId w:val="5"/></w:numPr></w:pPr><w:r><w:rPr/><w:t xml:space="preserve">Evidence map</w:t></w:r></w:p><w:p><w:pPr><w:numPr><w:ilvl w:val="0"/><w:numId w:val="5"/></w:numPr></w:pPr><w:r><w:rPr/><w:t xml:space="preserve">Other</w:t></w:r></w:p><w:p><w:pPr><w:pStyle w:val="Heading2"/></w:pPr><w:bookmarkStart w:id="7" w:name="_Toc9"/><w:r><w:t>Other Methodology</w:t></w:r><w:bookmarkEnd w:id="7"/></w:p><w:p><w:pPr/><w:r><w:rPr/><w:t xml:space="preserve">Longitudinal research</w:t></w:r></w:p><w:p><w:pPr><w:pStyle w:val="Heading2"/></w:pPr><w:bookmarkStart w:id="8" w:name="_Toc10"/><w:r><w:t>Researched Groups</w:t></w:r><w:bookmarkEnd w:id="8"/></w:p><w:p><w:pPr><w:numPr><w:ilvl w:val="0"/><w:numId w:val="5"/></w:numPr></w:pPr><w:r><w:rPr/><w:t xml:space="preserve">Children</w:t></w:r></w:p><w:p><w:pPr><w:numPr><w:ilvl w:val="0"/><w:numId w:val="5"/></w:numPr></w:pPr><w:r><w:rPr/><w:t xml:space="preserve">Parents</w:t></w:r></w:p><w:p><w:pPr><w:numPr><w:ilvl w:val="0"/><w:numId w:val="5"/></w:numPr></w:pPr><w:r><w:rPr/><w:t xml:space="preserve">Families</w:t></w:r></w:p><w:p><w:pPr><w:pStyle w:val="Heading2"/></w:pPr><w:bookmarkStart w:id="9" w:name="_Toc11"/><w:r><w:t>Children Ages</w:t></w:r><w:bookmarkEnd w:id="9"/></w:p><w:p><w:pPr><w:pStyle w:val="Heading2"/></w:pPr><w:bookmarkStart w:id="10" w:name="_Toc12"/><w:r><w:t>Funder</w:t></w:r><w:bookmarkEnd w:id="10"/></w:p><w:p><w:pPr/><w:r><w:rPr/><w:t xml:space="preserve">The Anniversary fund of the Oesterreichische Nationalbank (OeNB)</w:t></w:r></w:p><w:p><w:pPr><w:pStyle w:val="Heading2"/></w:pPr><w:bookmarkStart w:id="11" w:name="_Toc13"/><w:r><w:t>Funder Types</w:t></w:r><w:bookmarkEnd w:id="11"/></w:p><w:p><w:pPr/><w:r><w:rPr/><w:t xml:space="preserve">Other</w:t></w:r></w:p><w:p><w:pPr><w:pStyle w:val="Heading2"/></w:pPr><w:bookmarkStart w:id="12" w:name="_Toc14"/><w:r><w:t>Other Funder Type</w:t></w:r><w:bookmarkEnd w:id="12"/></w:p><w:p><w:pPr/><w:r><w:rPr/><w:t xml:space="preserve">Research Section of the National Bank</w:t></w:r></w:p><w:p><w:pPr><w:pStyle w:val="Heading2"/></w:pPr><w:bookmarkStart w:id="13" w:name="_Toc15"/><w:r><w:t>Consents</w:t></w:r><w:bookmarkEnd w:id="13"/></w:p><w:p><w:pPr><w:pStyle w:val="Heading2"/></w:pPr><w:bookmarkStart w:id="14" w:name="_Toc16"/><w:r><w:t>Informed Consent</w:t></w:r><w:bookmarkEnd w:id="14"/></w:p><w:p><w:pPr/><w:r><w:rPr/><w:t xml:space="preserve">Consent obtained</w:t></w:r></w:p><w:p><w:pPr><w:pStyle w:val="Heading2"/></w:pPr><w:bookmarkStart w:id="15" w:name="_Toc17"/><w:r><w:t>Ethics</w:t></w:r><w:bookmarkEnd w:id="15"/></w:p><w:p><w:pPr><w:numPr><w:ilvl w:val="0"/><w:numId w:val="5"/></w:numPr></w:pPr><w:r><w:rPr/><w:t xml:space="preserve">Ethical considerations and/or protocol mentioned in the research design</w:t></w:r></w:p><w:p><w:pPr><w:numPr><w:ilvl w:val="0"/><w:numId w:val="5"/></w:numPr></w:pPr><w:r><w:rPr/><w:t xml:space="preserve">Ethical issues flagged in the paper</w:t></w:r></w:p><w:p><w:pPr><w:numPr><w:ilvl w:val="0"/><w:numId w:val="5"/></w:numPr></w:pPr><w:r><w:rPr/><w:t xml:space="preserve">Other</w:t></w:r></w:p><w:p><w:pPr><w:pStyle w:val="Heading2"/></w:pPr><w:bookmarkStart w:id="16" w:name="_Toc18"/><w:r><w:t>Other Ethical Procedure</w:t></w:r><w:bookmarkEnd w:id="16"/></w:p><w:p><w:pPr/><w:r><w:rPr/><w:t xml:space="preserve">Cooperation with the university psycholgist</w:t></w:r></w:p><w:p><w:pPr><w:pStyle w:val="Heading2"/></w:pPr><w:bookmarkStart w:id="17" w:name="_Toc19"/><w:r><w:t>URL</w:t></w:r><w:bookmarkEnd w:id="17"/></w:p><w:p><w:pPr/><w:r><w:rPr/><w:t xml:space="preserve">https://www.plus.ac.at/kommunikationswissenschaft/forschung/mediensozialisation-2/</w:t></w:r></w:p><w:p><w:pPr><w:pStyle w:val="Heading2"/></w:pPr><w:bookmarkStart w:id="18" w:name="_Toc20"/><w:r><w:t>Data Set Availability</w:t></w:r><w:bookmarkEnd w:id="18"/></w:p><w:p><w:pPr/><w:r><w:rPr/><w:t xml:space="preserve">Not mentioned</w:t></w:r></w:p><w:p><w:pPr><w:pStyle w:val="Heading1"/></w:pPr><w:bookmarkStart w:id="19" w:name="_Toc21"/><w:r><w:t>Goals</w:t></w:r><w:bookmarkEnd w:id="19"/></w:p><w:p><w:pPr/><w:r><w:rPr/><w:t xml:space="preserve">"The project was underpinned by the firm belief that socially disadvantaged people, and children in particular, deserve the sup- port of the whole society, of which academia is no less a part. Therefore, the book follows the premise behind Norbert Elias’ idea of research, namely that it is obligated to serve humanity (Elias, 1987); this means its goal is both academic and social. On the one hand, it provides evidence-based research on the role media plays at various stages in the lives of the children in our panel. On the other, it advocates developing concepts to enable different stakeholders to provide individualised support for children and their families. This book intends to draw attention to, and raise awareness of, the situation of socially disadvantaged children, their needs and rights." (Paus-Hasebrink, Kulterer, & Sinner, 2019, vii-viii)</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6720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2025-10-15T13:18:37+00:00</dcterms:created>
  <dcterms:modified xsi:type="dcterms:W3CDTF">2025-10-15T13:18:37+00:00</dcterms:modified>
</cp:coreProperties>
</file>

<file path=docProps/custom.xml><?xml version="1.0" encoding="utf-8"?>
<Properties xmlns="http://schemas.openxmlformats.org/officeDocument/2006/custom-properties" xmlns:vt="http://schemas.openxmlformats.org/officeDocument/2006/docPropsVTypes"/>
</file>