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7. Oö. Kinder-Medien-Studie 2020 (Oberösterreich)</w:t>
      </w:r>
    </w:p>
    <w:p>
      <w:pPr>
        <w:pStyle w:val="Title"/>
      </w:pPr>
      <w:r>
        <w:t>Engl. transl.: 7th UA Children-Media-Study 2020 (Upper Austria)</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Education Group GmbH; Land Oberösterreich</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Other</w:t>
      </w:r>
    </w:p>
    <w:p>
      <w:pPr>
        <w:pStyle w:val="Heading2"/>
      </w:pPr>
      <w:bookmarkStart w:id="13" w:name="_Toc15"/>
      <w:r>
        <w:t>Other Ethical Procedure</w:t>
      </w:r>
      <w:bookmarkEnd w:id="13"/>
    </w:p>
    <w:p>
      <w:pPr/>
      <w:r>
        <w:rPr/>
        <w:t xml:space="preserve">Supervised staff</w:t>
      </w:r>
    </w:p>
    <w:p>
      <w:pPr>
        <w:pStyle w:val="Heading2"/>
      </w:pPr>
      <w:bookmarkStart w:id="14" w:name="_Toc16"/>
      <w:r>
        <w:t>URL</w:t>
      </w:r>
      <w:bookmarkEnd w:id="14"/>
    </w:p>
    <w:p>
      <w:pPr/>
      <w:r>
        <w:rPr/>
        <w:t xml:space="preserve">https://www.edugroup.at/innovation/forschung/kinder-medien-studie/detail/7-ooe-kinder-medien-studie-2020.html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What does children's everyday media life look like? What influence do Corona and the Lockdown have on media behaviour and how do parents see the changed usage behaviour of the youngest? This and much more is the subject of the 7th Children Media Study Upper Austria. To do so, the study combines interviews with children (6 to 10), parents of children (3 to 10) as well as teachers and educators at kindergartens and primary schools. (Translated and adapted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106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2025-10-15T13:16:36+00:00</dcterms:created>
  <dcterms:modified xsi:type="dcterms:W3CDTF">2025-10-15T13:16:36+00:00</dcterms:modified>
</cp:coreProperties>
</file>

<file path=docProps/custom.xml><?xml version="1.0" encoding="utf-8"?>
<Properties xmlns="http://schemas.openxmlformats.org/officeDocument/2006/custom-properties" xmlns:vt="http://schemas.openxmlformats.org/officeDocument/2006/docPropsVTypes"/>
</file>