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Competencias mediáticas de la ciudadanía en medios emergentes. Prácticas innovadoras y estrategias educomunicativas en contextos múltiples</w:t>
      </w:r>
    </w:p>
    <w:p>
      <w:pPr>
        <w:pStyle w:val="Title"/>
      </w:pPr>
      <w:r>
        <w:t>Engl. transl.: Citizens’ Media Competences in emerging digital media (smartphones and tablets): innovative practices and edu-communication strategies in multiple contexts”</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MINECO AND FEDER</w:t>
      </w:r>
    </w:p>
    <w:p>
      <w:pPr>
        <w:pStyle w:val="Heading2"/>
      </w:pPr>
      <w:bookmarkStart w:id="10" w:name="_Toc12"/>
      <w:r>
        <w:t>Funder Types</w:t>
      </w:r>
      <w:bookmarkEnd w:id="10"/>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and/or protocol mentioned in the research design</w:t>
      </w:r>
    </w:p>
    <w:p>
      <w:pPr>
        <w:pStyle w:val="Heading2"/>
      </w:pPr>
      <w:bookmarkStart w:id="14" w:name="_Toc16"/>
      <w:r>
        <w:t>URL</w:t>
      </w:r>
      <w:bookmarkEnd w:id="14"/>
    </w:p>
    <w:p>
      <w:pPr/>
      <w:r>
        <w:rPr/>
        <w:t xml:space="preserve">https://competenciamediatica.com/</w:t>
      </w:r>
    </w:p>
    <w:p>
      <w:pPr>
        <w:pStyle w:val="Heading1"/>
      </w:pPr>
      <w:bookmarkStart w:id="15" w:name="_Toc17"/>
      <w:r>
        <w:t>Goals</w:t>
      </w:r>
      <w:bookmarkEnd w:id="15"/>
    </w:p>
    <w:p>
      <w:pPr/>
      <w:r>
        <w:rPr/>
        <w:t xml:space="preserve">To assess attitudes and behaviours in the use of emerging digital media (smartphones and tablets) in order to detect shortcomings and identify innovative practices that should be addressed and promoted, respectively, from the educational-communication field. To this end, we will focus on three social sectors in particular:
Childhood and youth
University environments
Professional field of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2025-10-15T13:31:52+00:00</dcterms:created>
  <dcterms:modified xsi:type="dcterms:W3CDTF">2025-10-15T13:31:52+00:00</dcterms:modified>
</cp:coreProperties>
</file>

<file path=docProps/custom.xml><?xml version="1.0" encoding="utf-8"?>
<Properties xmlns="http://schemas.openxmlformats.org/officeDocument/2006/custom-properties" xmlns:vt="http://schemas.openxmlformats.org/officeDocument/2006/docPropsVTypes"/>
</file>