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Prvo nacionalno istraživanje o predškolskoj djeci pred malim ekranima</w:t>
      </w:r>
    </w:p>
    <w:p>
      <w:pPr>
        <w:pStyle w:val="Title"/>
      </w:pPr>
      <w:r>
        <w:t>Engl. transl.: The first national survey on preschool children in front of small screens</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Parents</w:t>
      </w:r>
    </w:p>
    <w:p>
      <w:pPr>
        <w:pStyle w:val="Heading2"/>
      </w:pPr>
      <w:bookmarkStart w:id="8" w:name="_Toc10"/>
      <w:r>
        <w:t>Children Ages</w:t>
      </w:r>
      <w:bookmarkEnd w:id="8"/>
    </w:p>
    <w:p>
      <w:pPr>
        <w:pStyle w:val="Heading2"/>
      </w:pPr>
      <w:bookmarkStart w:id="9" w:name="_Toc11"/>
      <w:r>
        <w:t>Other Childrens Age Group</w:t>
      </w:r>
      <w:bookmarkEnd w:id="9"/>
    </w:p>
    <w:p>
      <w:pPr/>
      <w:r>
        <w:rPr/>
        <w:t xml:space="preserve">5-7 years old</w:t>
      </w:r>
    </w:p>
    <w:p>
      <w:pPr>
        <w:pStyle w:val="Heading2"/>
      </w:pPr>
      <w:bookmarkStart w:id="10" w:name="_Toc12"/>
      <w:r>
        <w:t>Funder</w:t>
      </w:r>
      <w:bookmarkEnd w:id="10"/>
    </w:p>
    <w:p>
      <w:pPr/>
      <w:r>
        <w:rPr/>
        <w:t xml:space="preserve">Children and Youth Protection Centre of the City of Zagreb; Brave Phone</w:t>
      </w:r>
    </w:p>
    <w:p>
      <w:pPr>
        <w:pStyle w:val="Heading2"/>
      </w:pPr>
      <w:bookmarkStart w:id="11" w:name="_Toc13"/>
      <w:r>
        <w:t>Funder Types</w:t>
      </w:r>
      <w:bookmarkEnd w:id="11"/>
    </w:p>
    <w:p>
      <w:pPr>
        <w:pStyle w:val="Heading2"/>
      </w:pPr>
      <w:bookmarkStart w:id="12" w:name="_Toc14"/>
      <w:r>
        <w:t>Other Funder Type</w:t>
      </w:r>
      <w:bookmarkEnd w:id="12"/>
    </w:p>
    <w:p>
      <w:pPr/>
      <w:r>
        <w:rPr/>
        <w:t xml:space="preserve">Protection Centre for Children and Youth</w:t>
      </w:r>
    </w:p>
    <w:p>
      <w:pPr>
        <w:pStyle w:val="Heading2"/>
      </w:pPr>
      <w:bookmarkStart w:id="13" w:name="_Toc15"/>
      <w:r>
        <w:t>Consents</w:t>
      </w:r>
      <w:bookmarkEnd w:id="13"/>
    </w:p>
    <w:p>
      <w:pPr/>
      <w:r>
        <w:rPr/>
        <w:t xml:space="preserve">Consent obtained from school officials / principal</w:t>
      </w:r>
    </w:p>
    <w:p>
      <w:pPr>
        <w:pStyle w:val="Heading2"/>
      </w:pPr>
      <w:bookmarkStart w:id="14" w:name="_Toc16"/>
      <w:r>
        <w:t>Informed Consent</w:t>
      </w:r>
      <w:bookmarkEnd w:id="14"/>
    </w:p>
    <w:p>
      <w:pPr/>
      <w:r>
        <w:rPr/>
        <w:t xml:space="preserve">Consent not mentioned</w:t>
      </w:r>
    </w:p>
    <w:p>
      <w:pPr>
        <w:pStyle w:val="Heading2"/>
      </w:pPr>
      <w:bookmarkStart w:id="15" w:name="_Toc17"/>
      <w:r>
        <w:t>Ethics</w:t>
      </w:r>
      <w:bookmarkEnd w:id="15"/>
    </w:p>
    <w:p>
      <w:pPr/>
      <w:r>
        <w:rPr/>
        <w:t xml:space="preserve">Ethical considerations not mentioned</w:t>
      </w:r>
    </w:p>
    <w:p>
      <w:pPr>
        <w:pStyle w:val="Heading2"/>
      </w:pPr>
      <w:bookmarkStart w:id="16" w:name="_Toc18"/>
      <w:r>
        <w:t>URL</w:t>
      </w:r>
      <w:bookmarkEnd w:id="16"/>
    </w:p>
    <w:p>
      <w:pPr/>
      <w:r>
        <w:rPr/>
        <w:t xml:space="preserve">https://www.poliklinika-djeca.hr/istrazivanja/prvo-nacionalno-istrazivanje-o-predskolskoj-djeci-pred-malim-ekranima/</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"The main goal of the project was to explore Screen Time  of preschool children and its connection with physical, cognitive and socio-emotional development of children. The aim is to present general data on the habits of Croatian preschool children's usage of screens, given that this is the first comprehensive research on the topic in national and European contexts, and compare the results with existing data in other countries", Roje et al, 2020, 48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2025-10-15T11:14:53+00:00</dcterms:created>
  <dcterms:modified xsi:type="dcterms:W3CDTF">2025-10-15T11:14:53+00:00</dcterms:modified>
</cp:coreProperties>
</file>

<file path=docProps/custom.xml><?xml version="1.0" encoding="utf-8"?>
<Properties xmlns="http://schemas.openxmlformats.org/officeDocument/2006/custom-properties" xmlns:vt="http://schemas.openxmlformats.org/officeDocument/2006/docPropsVTypes"/>
</file>