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Kinder, Jugendliche und junge Erwachsene im VOD-Zeitalter</w:t>
      </w:r>
    </w:p>
    <w:p>
      <w:pPr>
        <w:pStyle w:val="Title"/>
      </w:pPr>
      <w:r>
        <w:t>Engl. transl.: Children, adolescents and young adults in times of VOD</w:t>
      </w:r>
    </w:p>
    <w:p>
      <w:pPr>
        <w:pStyle w:val="Heading1"/>
      </w:pPr>
      <w:bookmarkStart w:id="1" w:name="_Toc3"/>
      <w:r>
        <w:t>Details</w:t>
      </w:r>
      <w:bookmarkEnd w:id="1"/>
    </w:p>
    <w:p>
      <w:pPr>
        <w:pStyle w:val="Heading2"/>
      </w:pPr>
      <w:bookmarkStart w:id="2" w:name="_Toc4"/>
      <w:r>
        <w:t>Year</w:t>
      </w:r>
      <w:bookmarkEnd w:id="2"/>
    </w:p>
    <w:p>
      <w:pPr/>
      <w:r>
        <w:rPr/>
        <w:t xml:space="preserve">2018</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Austria</w:t>
      </w:r>
    </w:p>
    <w:p>
      <w:pPr>
        <w:pStyle w:val="Heading2"/>
      </w:pPr>
      <w:bookmarkStart w:id="5" w:name="_Toc7"/>
      <w:r>
        <w:t>Type</w:t>
      </w:r>
      <w:bookmarkEnd w:id="5"/>
    </w:p>
    <w:p>
      <w:pPr/>
      <w:r>
        <w:rPr/>
        <w:t xml:space="preserve">Empirical research – Mixed methods</w:t>
      </w:r>
    </w:p>
    <w:p>
      <w:pPr>
        <w:pStyle w:val="Heading2"/>
      </w:pPr>
      <w:bookmarkStart w:id="6" w:name="_Toc8"/>
      <w:r>
        <w:t>Methodologies</w:t>
      </w:r>
      <w:bookmarkEnd w:id="6"/>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numPr>
          <w:ilvl w:val="0"/>
          <w:numId w:val="5"/>
        </w:numPr>
      </w:pPr>
      <w:r>
        <w:rPr/>
        <w:t xml:space="preserve">All (0-18 years old)</w:t>
      </w:r>
    </w:p>
    <w:p>
      <w:pPr>
        <w:numPr>
          <w:ilvl w:val="0"/>
          <w:numId w:val="5"/>
        </w:numPr>
      </w:pPr>
      <w:r>
        <w:rPr/>
        <w:t xml:space="preserve">Young adults (19-24 Years old)</w:t>
      </w:r>
    </w:p>
    <w:p>
      <w:pPr>
        <w:numPr>
          <w:ilvl w:val="0"/>
          <w:numId w:val="5"/>
        </w:numPr>
      </w:pPr>
      <w:r>
        <w:rPr/>
        <w:t xml:space="preserve">Other</w:t>
      </w:r>
    </w:p>
    <w:p>
      <w:pPr>
        <w:pStyle w:val="Heading2"/>
      </w:pPr>
      <w:bookmarkStart w:id="9" w:name="_Toc11"/>
      <w:r>
        <w:t>Other Childrens Age Group</w:t>
      </w:r>
      <w:bookmarkEnd w:id="9"/>
    </w:p>
    <w:p>
      <w:pPr/>
      <w:r>
        <w:rPr/>
        <w:t xml:space="preserve">25-29 Years old</w:t>
      </w:r>
    </w:p>
    <w:p>
      <w:pPr>
        <w:pStyle w:val="Heading2"/>
      </w:pPr>
      <w:bookmarkStart w:id="10" w:name="_Toc12"/>
      <w:r>
        <w:t>Funder</w:t>
      </w:r>
      <w:bookmarkEnd w:id="10"/>
    </w:p>
    <w:p>
      <w:pPr/>
      <w:r>
        <w:rPr/>
        <w:t xml:space="preserve">RTR Rundfunk und Telekom Regulierungs-GmbH</w:t>
      </w:r>
    </w:p>
    <w:p>
      <w:pPr>
        <w:pStyle w:val="Heading2"/>
      </w:pPr>
      <w:bookmarkStart w:id="11" w:name="_Toc13"/>
      <w:r>
        <w:t>Funder Types</w:t>
      </w:r>
      <w:bookmarkEnd w:id="11"/>
    </w:p>
    <w:p>
      <w:pPr/>
      <w:r>
        <w:rPr/>
        <w:t xml:space="preserve">Regulator</w:t>
      </w:r>
    </w:p>
    <w:p>
      <w:pPr>
        <w:pStyle w:val="Heading2"/>
      </w:pPr>
      <w:bookmarkStart w:id="12" w:name="_Toc14"/>
      <w:r>
        <w:t>Informed Consent</w:t>
      </w:r>
      <w:bookmarkEnd w:id="12"/>
    </w:p>
    <w:p>
      <w:pPr/>
      <w:r>
        <w:rPr/>
        <w:t xml:space="preserve">Consent not mentioned</w:t>
      </w:r>
    </w:p>
    <w:p>
      <w:pPr>
        <w:pStyle w:val="Heading2"/>
      </w:pPr>
      <w:bookmarkStart w:id="13" w:name="_Toc15"/>
      <w:r>
        <w:t>Ethics</w:t>
      </w:r>
      <w:bookmarkEnd w:id="13"/>
    </w:p>
    <w:p>
      <w:pPr/>
      <w:r>
        <w:rPr/>
        <w:t xml:space="preserve">Ethical issues flagged in the paper</w:t>
      </w:r>
    </w:p>
    <w:p>
      <w:pPr>
        <w:pStyle w:val="Heading2"/>
      </w:pPr>
      <w:bookmarkStart w:id="14" w:name="_Toc16"/>
      <w:r>
        <w:t>URL</w:t>
      </w:r>
      <w:bookmarkEnd w:id="14"/>
    </w:p>
    <w:p>
      <w:pPr/>
      <w:r>
        <w:rPr/>
        <w:t xml:space="preserve">https://www.saferinternet.at/fileadmin/redakteure/Footer/Studien/Studie_VOD-Zeitalter.pdf</w:t>
      </w:r>
    </w:p>
    <w:p>
      <w:pPr>
        <w:pStyle w:val="Heading2"/>
      </w:pPr>
      <w:bookmarkStart w:id="15" w:name="_Toc17"/>
      <w:r>
        <w:t>Data Set Availability</w:t>
      </w:r>
      <w:bookmarkEnd w:id="15"/>
    </w:p>
    <w:p>
      <w:pPr/>
      <w:r>
        <w:rPr/>
        <w:t xml:space="preserve">Not mentioned</w:t>
      </w:r>
    </w:p>
    <w:p>
      <w:pPr>
        <w:pStyle w:val="Heading1"/>
      </w:pPr>
      <w:bookmarkStart w:id="16" w:name="_Toc18"/>
      <w:r>
        <w:t>Goals</w:t>
      </w:r>
      <w:bookmarkEnd w:id="16"/>
    </w:p>
    <w:p>
      <w:pPr/>
      <w:r>
        <w:rPr/>
        <w:t xml:space="preserve">Linear TV loses in importance, in particular for younger people. In contrast to this, media libraries, streaming provider and vlogger (e.g. on YouTube, Instagram, Twitch or TikTok) are becoming more popular. VOD seems to be attractive, due to modern offerings, the lack of time schedules and the possibility to use them almost everywhere, also via smartphone or tablet. Aim of the study is to explore patterns of media use of children, adolescents and young adults, with a view to different VOD offerings and different contents. What are their practices, which content is popular and when do they prefer classical media offerings (e.g. news). Which role do vlogger play, as entertainer, role models, and mediators of knowledge?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03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8BF47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2025-11-03T16:54:12+00:00</dcterms:created>
  <dcterms:modified xsi:type="dcterms:W3CDTF">2025-11-03T16:54:12+00:00</dcterms:modified>
</cp:coreProperties>
</file>

<file path=docProps/custom.xml><?xml version="1.0" encoding="utf-8"?>
<Properties xmlns="http://schemas.openxmlformats.org/officeDocument/2006/custom-properties" xmlns:vt="http://schemas.openxmlformats.org/officeDocument/2006/docPropsVTypes"/>
</file>