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Internet of Toys - Vernetzte Spielwelten</w:t>
      </w:r>
    </w:p>
    <w:p>
      <w:pPr>
        <w:pStyle w:val="Title"/>
      </w:pPr>
      <w:r>
        <w:t>Engl. transl.: Internet of Toys - Interconnected playing environments</w:t>
      </w:r>
    </w:p>
    <w:p>
      <w:pPr>
        <w:pStyle w:val="Heading1"/>
      </w:pPr>
      <w:bookmarkStart w:id="1" w:name="_Toc3"/>
      <w:r>
        <w:t>Details</w:t>
      </w:r>
      <w:bookmarkEnd w:id="1"/>
    </w:p>
    <w:p>
      <w:pPr>
        <w:pStyle w:val="Heading2"/>
      </w:pPr>
      <w:bookmarkStart w:id="2" w:name="_Toc4"/>
      <w:r>
        <w:t>Year</w:t>
      </w:r>
      <w:bookmarkEnd w:id="2"/>
    </w:p>
    <w:p>
      <w:pPr/>
      <w:r>
        <w:rPr/>
        <w:t xml:space="preserve">2018</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Austria</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numPr>
          <w:ilvl w:val="0"/>
          <w:numId w:val="5"/>
        </w:numPr>
      </w:pPr>
      <w:r>
        <w:rPr/>
        <w:t xml:space="preserve">Interview</w:t>
      </w:r>
    </w:p>
    <w:p>
      <w:pPr>
        <w:numPr>
          <w:ilvl w:val="0"/>
          <w:numId w:val="5"/>
        </w:numPr>
      </w:pPr>
      <w:r>
        <w:rPr/>
        <w:t xml:space="preserve">Textual / documentary / content analysis</w:t>
      </w:r>
    </w:p>
    <w:p>
      <w:pPr>
        <w:numPr>
          <w:ilvl w:val="0"/>
          <w:numId w:val="5"/>
        </w:numPr>
      </w:pPr>
      <w:r>
        <w:rPr/>
        <w:t xml:space="preserve">Secondary analysis</w:t>
      </w:r>
    </w:p>
    <w:p>
      <w:pPr>
        <w:numPr>
          <w:ilvl w:val="0"/>
          <w:numId w:val="5"/>
        </w:numPr>
      </w:pPr>
      <w:r>
        <w:rPr/>
        <w:t xml:space="preserve">Other</w:t>
      </w:r>
    </w:p>
    <w:p>
      <w:pPr>
        <w:pStyle w:val="Heading2"/>
      </w:pPr>
      <w:bookmarkStart w:id="7" w:name="_Toc9"/>
      <w:r>
        <w:t>Other Methodology</w:t>
      </w:r>
      <w:bookmarkEnd w:id="7"/>
    </w:p>
    <w:p>
      <w:pPr/>
      <w:r>
        <w:rPr/>
        <w:t xml:space="preserve">Product evaluation in stores</w:t>
      </w:r>
    </w:p>
    <w:p>
      <w:pPr>
        <w:pStyle w:val="Heading2"/>
      </w:pPr>
      <w:bookmarkStart w:id="8" w:name="_Toc10"/>
      <w:r>
        <w:t>Researched Groups</w:t>
      </w:r>
      <w:bookmarkEnd w:id="8"/>
    </w:p>
    <w:p>
      <w:pPr>
        <w:numPr>
          <w:ilvl w:val="0"/>
          <w:numId w:val="5"/>
        </w:numPr>
      </w:pPr>
      <w:r>
        <w:rPr/>
        <w:t xml:space="preserve">Teachers / Educators</w:t>
      </w:r>
    </w:p>
    <w:p>
      <w:pPr>
        <w:numPr>
          <w:ilvl w:val="0"/>
          <w:numId w:val="5"/>
        </w:numPr>
      </w:pPr>
      <w:r>
        <w:rPr/>
        <w:t xml:space="preserve">Social workers</w:t>
      </w:r>
    </w:p>
    <w:p>
      <w:pPr>
        <w:numPr>
          <w:ilvl w:val="0"/>
          <w:numId w:val="5"/>
        </w:numPr>
      </w:pPr>
      <w:r>
        <w:rPr/>
        <w:t xml:space="preserve">Other practitioners working with children</w:t>
      </w:r>
    </w:p>
    <w:p>
      <w:pPr>
        <w:numPr>
          <w:ilvl w:val="0"/>
          <w:numId w:val="5"/>
        </w:numPr>
      </w:pPr>
      <w:r>
        <w:rPr/>
        <w:t xml:space="preserve">Policymakers and regulators</w:t>
      </w:r>
    </w:p>
    <w:p>
      <w:pPr>
        <w:numPr>
          <w:ilvl w:val="0"/>
          <w:numId w:val="5"/>
        </w:numPr>
      </w:pPr>
      <w:r>
        <w:rPr/>
        <w:t xml:space="preserve">Other</w:t>
      </w:r>
    </w:p>
    <w:p>
      <w:pPr>
        <w:pStyle w:val="Heading2"/>
      </w:pPr>
      <w:bookmarkStart w:id="9" w:name="_Toc11"/>
      <w:r>
        <w:t>Other Researched Group</w:t>
      </w:r>
      <w:bookmarkEnd w:id="9"/>
    </w:p>
    <w:p>
      <w:pPr/>
      <w:r>
        <w:rPr/>
        <w:t xml:space="preserve">Technical experts</w:t>
      </w:r>
    </w:p>
    <w:p>
      <w:pPr>
        <w:pStyle w:val="Heading2"/>
      </w:pPr>
      <w:bookmarkStart w:id="10" w:name="_Toc12"/>
      <w:r>
        <w:t>Children Ages</w:t>
      </w:r>
      <w:bookmarkEnd w:id="10"/>
    </w:p>
    <w:p>
      <w:pPr/>
      <w:r>
        <w:rPr/>
        <w:t xml:space="preserve">Other</w:t>
      </w:r>
    </w:p>
    <w:p>
      <w:pPr>
        <w:pStyle w:val="Heading2"/>
      </w:pPr>
      <w:bookmarkStart w:id="11" w:name="_Toc13"/>
      <w:r>
        <w:t>Other Childrens Age Group</w:t>
      </w:r>
      <w:bookmarkEnd w:id="11"/>
    </w:p>
    <w:p>
      <w:pPr/>
      <w:r>
        <w:rPr/>
        <w:t xml:space="preserve">Not explicitly mentioned, focus on products</w:t>
      </w:r>
    </w:p>
    <w:p>
      <w:pPr>
        <w:pStyle w:val="Heading2"/>
      </w:pPr>
      <w:bookmarkStart w:id="12" w:name="_Toc14"/>
      <w:r>
        <w:t>Funder</w:t>
      </w:r>
      <w:bookmarkEnd w:id="12"/>
    </w:p>
    <w:p>
      <w:pPr/>
      <w:r>
        <w:rPr/>
        <w:t xml:space="preserve">Internet Privatstiftung Austria – Internet Foundation Austria</w:t>
      </w:r>
    </w:p>
    <w:p>
      <w:pPr>
        <w:pStyle w:val="Heading2"/>
      </w:pPr>
      <w:bookmarkStart w:id="13" w:name="_Toc15"/>
      <w:r>
        <w:t>Funder Types</w:t>
      </w:r>
      <w:bookmarkEnd w:id="13"/>
    </w:p>
    <w:p>
      <w:pPr/>
      <w:r>
        <w:rPr/>
        <w:t xml:space="preserve">Foundation</w:t>
      </w:r>
    </w:p>
    <w:p>
      <w:pPr>
        <w:pStyle w:val="Heading2"/>
      </w:pPr>
      <w:bookmarkStart w:id="14" w:name="_Toc16"/>
      <w:r>
        <w:t>Informed Consent</w:t>
      </w:r>
      <w:bookmarkEnd w:id="14"/>
    </w:p>
    <w:p>
      <w:pPr/>
      <w:r>
        <w:rPr/>
        <w:t xml:space="preserve">Consent not mentioned</w:t>
      </w:r>
    </w:p>
    <w:p>
      <w:pPr>
        <w:pStyle w:val="Heading2"/>
      </w:pPr>
      <w:bookmarkStart w:id="15" w:name="_Toc17"/>
      <w:r>
        <w:t>Ethics</w:t>
      </w:r>
      <w:bookmarkEnd w:id="15"/>
    </w:p>
    <w:p>
      <w:pPr/>
      <w:r>
        <w:rPr/>
        <w:t xml:space="preserve">Ethical issues flagged in the paper</w:t>
      </w:r>
    </w:p>
    <w:p>
      <w:pPr>
        <w:pStyle w:val="Heading2"/>
      </w:pPr>
      <w:bookmarkStart w:id="16" w:name="_Toc18"/>
      <w:r>
        <w:t>URL</w:t>
      </w:r>
      <w:bookmarkEnd w:id="16"/>
    </w:p>
    <w:p>
      <w:pPr/>
      <w:r>
        <w:rPr/>
        <w:t xml:space="preserve">https://www.saferinternet.at/projekte/vernetztes-spielzeug/</w:t>
      </w:r>
    </w:p>
    <w:p>
      <w:pPr>
        <w:pStyle w:val="Heading2"/>
      </w:pPr>
      <w:bookmarkStart w:id="17" w:name="_Toc19"/>
      <w:r>
        <w:t>Data Set Availability</w:t>
      </w:r>
      <w:bookmarkEnd w:id="17"/>
    </w:p>
    <w:p>
      <w:pPr/>
      <w:r>
        <w:rPr/>
        <w:t xml:space="preserve">Not mentioned</w:t>
      </w:r>
    </w:p>
    <w:p>
      <w:pPr>
        <w:pStyle w:val="Heading1"/>
      </w:pPr>
      <w:bookmarkStart w:id="18" w:name="_Toc20"/>
      <w:r>
        <w:t>Goals</w:t>
      </w:r>
      <w:bookmarkEnd w:id="18"/>
    </w:p>
    <w:p>
      <w:pPr/>
      <w:r>
        <w:rPr/>
        <w:t xml:space="preserve">This study explored the phenomenon of the "Internet of Toys". The aim was to shed light on the possible effects of networked toys on children from an educational and psychological point of view, as well as to provide a case study-oriented analysis of the legal framework and challenges, with a focus on Austria. The project also provides an outlook on future development paths for the classification of risks.
The aim of the processing of the results is to strengthen the competent and safe use of networked toys, as well as to promote the development of safe and sensible toys. The following materials were prepared for this purpose:
- A folder for parents
- A fact sheet for sellers
- A fact sheet for developers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3C39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2025-10-15T04:25:29+00:00</dcterms:created>
  <dcterms:modified xsi:type="dcterms:W3CDTF">2025-10-15T04:25:29+00:00</dcterms:modified>
</cp:coreProperties>
</file>

<file path=docProps/custom.xml><?xml version="1.0" encoding="utf-8"?>
<Properties xmlns="http://schemas.openxmlformats.org/officeDocument/2006/custom-properties" xmlns:vt="http://schemas.openxmlformats.org/officeDocument/2006/docPropsVTypes"/>
</file>