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Jugendliche im digitalen Zeitstress - über den Umgang mit der Sogwirkung digitaler Medien, ständiger Erreichbarkeit und Ablenkung</w:t></w:r></w:p><w:p><w:pPr><w:pStyle w:val="Title"/></w:pPr><w:r><w:t>Engl. transl.: Young people and digital stress - dealing with the pull of digital media, constant accessibility and distraction</w:t></w:r></w:p><w:p><w:pPr><w:pStyle w:val="Heading1"/></w:pPr><w:bookmarkStart w:id="1" w:name="_Toc3"/><w:r><w:t>Details</w:t></w:r><w:bookmarkEnd w:id="1"/></w:p><w:p><w:pPr><w:pStyle w:val="Heading2"/></w:pPr><w:bookmarkStart w:id="2" w:name="_Toc4"/><w:r><w:t>Year</w:t></w:r><w:bookmarkEnd w:id="2"/></w:p><w:p><w:pPr/><w:r><w:rPr/><w:t xml:space="preserve">2018</w:t></w:r></w:p><w:p><w:pPr><w:pStyle w:val="Heading2"/></w:pPr><w:bookmarkStart w:id="3" w:name="_Toc5"/><w:r><w:t>Scope</w:t></w:r><w:bookmarkEnd w:id="3"/></w:p><w:p><w:pPr/><w:r><w:rPr/><w:t xml:space="preserve">National</w:t></w:r></w:p><w:p><w:pPr><w:pStyle w:val="Heading2"/></w:pPr><w:bookmarkStart w:id="4" w:name="_Toc6"/><w:r><w:t>Countries</w:t></w:r><w:bookmarkEnd w:id="4"/></w:p><w:p><w:pPr/><w:r><w:rPr/><w:t xml:space="preserve">Austria</w:t></w:r></w:p><w:p><w:pPr><w:pStyle w:val="Heading2"/></w:pPr><w:bookmarkStart w:id="5" w:name="_Toc7"/><w:r><w:t>Type</w:t></w:r><w:bookmarkEnd w:id="5"/></w:p><w:p><w:pPr/><w:r><w:rPr/><w:t xml:space="preserve">Empirical research – Mixed methods</w:t></w:r></w:p><w:p><w:pPr><w:pStyle w:val="Heading2"/></w:pPr><w:bookmarkStart w:id="6" w:name="_Toc8"/><w:r><w:t>Methodologies</w:t></w:r><w:bookmarkEnd w:id="6"/></w:p><w:p><w:pPr><w:numPr><w:ilvl w:val="0"/><w:numId w:val="5"/></w:numPr></w:pPr><w:r><w:rPr/><w:t xml:space="preserve">Survey</w:t></w:r></w:p><w:p><w:pPr><w:numPr><w:ilvl w:val="0"/><w:numId w:val="5"/></w:numPr></w:pPr><w:r><w:rPr/><w:t xml:space="preserve">Focus group</w:t></w:r></w:p><w:p><w:pPr><w:numPr><w:ilvl w:val="0"/><w:numId w:val="5"/></w:numPr></w:pPr><w:r><w:rPr/><w:t xml:space="preserve">Other</w:t></w:r></w:p><w:p><w:pPr><w:pStyle w:val="Heading2"/></w:pPr><w:bookmarkStart w:id="7" w:name="_Toc9"/><w:r><w:t>Other Methodology</w:t></w:r><w:bookmarkEnd w:id="7"/></w:p><w:p><w:pPr/><w:r><w:rPr/><w:t xml:space="preserve">Workshop</w:t></w:r></w:p><w:p><w:pPr><w:pStyle w:val="Heading2"/></w:pPr><w:bookmarkStart w:id="8" w:name="_Toc10"/><w:r><w:t>Researched Groups</w:t></w:r><w:bookmarkEnd w:id="8"/></w:p><w:p><w:pPr/><w:r><w:rPr/><w:t xml:space="preserve">Children</w:t></w:r></w:p><w:p><w:pPr><w:pStyle w:val="Heading2"/></w:pPr><w:bookmarkStart w:id="9" w:name="_Toc11"/><w:r><w:t>Children Ages</w:t></w:r><w:bookmarkEnd w:id="9"/></w:p><w:p><w:pPr><w:pStyle w:val="Heading2"/></w:pPr><w:bookmarkStart w:id="10" w:name="_Toc12"/><w:r><w:t>Funder</w:t></w:r><w:bookmarkEnd w:id="10"/></w:p><w:p><w:pPr/><w:r><w:rPr/><w:t xml:space="preserve">saferinternet.at; ispa</w:t></w:r></w:p><w:p><w:pPr><w:pStyle w:val="Heading2"/></w:pPr><w:bookmarkStart w:id="11" w:name="_Toc13"/><w:r><w:t>Funder Types</w:t></w:r><w:bookmarkEnd w:id="11"/></w:p><w:p><w:pPr><w:numPr><w:ilvl w:val="0"/><w:numId w:val="5"/></w:numPr></w:pPr><w:r><w:rPr/><w:t xml:space="preserve">European Union / Commission</w:t></w:r></w:p><w:p><w:pPr><w:numPr><w:ilvl w:val="0"/><w:numId w:val="5"/></w:numPr></w:pPr><w:r><w:rPr/><w:t xml:space="preserve">Private industry / Company</w:t></w:r></w:p><w:p><w:pPr><w:numPr><w:ilvl w:val="0"/><w:numId w:val="5"/></w:numPr></w:pPr><w:r><w:rPr/><w:t xml:space="preserve">National Government / Ministry</w:t></w:r></w:p><w:p><w:pPr><w:pStyle w:val="Heading2"/></w:pPr><w:bookmarkStart w:id="12" w:name="_Toc14"/><w:r><w:t>Informed Consent</w:t></w:r><w:bookmarkEnd w:id="12"/></w:p><w:p><w:pPr/><w:r><w:rPr/><w:t xml:space="preserve">Consent not mentioned</w:t></w:r></w:p><w:p><w:pPr><w:pStyle w:val="Heading2"/></w:pPr><w:bookmarkStart w:id="13" w:name="_Toc15"/><w:r><w:t>URL</w:t></w:r><w:bookmarkEnd w:id="13"/></w:p><w:p><w:pPr/><w:r><w:rPr/><w:t xml:space="preserve">https://www.saferinternet.at/news-detail/studie-immer-mehr-jugendliche-im-digitalen-zeitstress/</w:t></w:r></w:p><w:p><w:pPr><w:pStyle w:val="Heading2"/></w:pPr><w:bookmarkStart w:id="14" w:name="_Toc16"/><w:r><w:t>Data Set Availability</w:t></w:r><w:bookmarkEnd w:id="14"/></w:p><w:p><w:pPr/><w:r><w:rPr/><w:t xml:space="preserve">Not mentioned</w:t></w:r></w:p><w:p><w:pPr><w:pStyle w:val="Heading1"/></w:pPr><w:bookmarkStart w:id="15" w:name="_Toc17"/><w:r><w:t>Goals</w:t></w:r><w:bookmarkEnd w:id="15"/></w:p><w:p><w:pPr/><w:r><w:rPr/><w:t xml:space="preserve">"More and more people feel stressed by the excessive use of digital devices and the number of "digital detox" offers is increasing. This development does not even stop at young people. A surprising result: 35 percent of young people already perceive digital time stress. Parents, in particular, are strongly challenged here as contact persons. Family rules for everyday life with smartphones & co. can help to reduce the pressure. Noteworthy: The first pioneers among young people give practical tips in order to practice a more balanced online consumption in everyday life." (saferinternet.at, 2019, online;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D0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2025-10-15T04:47:21+00:00</dcterms:created>
  <dcterms:modified xsi:type="dcterms:W3CDTF">2025-10-15T04:47:21+00:00</dcterms:modified>
</cp:coreProperties>
</file>

<file path=docProps/custom.xml><?xml version="1.0" encoding="utf-8"?>
<Properties xmlns="http://schemas.openxmlformats.org/officeDocument/2006/custom-properties" xmlns:vt="http://schemas.openxmlformats.org/officeDocument/2006/docPropsVTypes"/>
</file>