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El impacto emocional del bullying y ciberbuying</w:t>
      </w:r>
    </w:p>
    <w:p>
      <w:pPr>
        <w:pStyle w:val="Title"/>
      </w:pPr>
      <w:r>
        <w:t>Engl. transl.: The emotional impact of bullying and cyberbullying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Spanish Ministry of Education, Culture and Sports  grant (AP2010-2013)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1353 students aged 12 to 20 (M ¼ 14.77, SD ¼ 1.62), with 47.3% male. Of these, 1170 (86.5%) were in compulsory secondary education, and 183 (13.5%) were in non-compulsory education. 21 schools located in Murcia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2025-10-15T17:56:25+00:00</dcterms:created>
  <dcterms:modified xsi:type="dcterms:W3CDTF">2025-10-15T17:56:25+00:00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