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Jugend-Internet-Monitor</w:t>
      </w:r>
    </w:p>
    <w:p>
      <w:pPr>
        <w:pStyle w:val="Title"/>
      </w:pPr>
      <w:r>
        <w:t>Engl. transl.: Youth Internet Monitor</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saferinternet.at</w:t>
      </w:r>
    </w:p>
    <w:p>
      <w:pPr>
        <w:pStyle w:val="Heading2"/>
      </w:pPr>
      <w:bookmarkStart w:id="10" w:name="_Toc12"/>
      <w:r>
        <w:t>Funder Types</w:t>
      </w:r>
      <w:bookmarkEnd w:id="10"/>
    </w:p>
    <w:p>
      <w:pPr>
        <w:numPr>
          <w:ilvl w:val="0"/>
          <w:numId w:val="5"/>
        </w:numPr>
      </w:pPr>
      <w:r>
        <w:rPr/>
        <w:t xml:space="preserve">European Union / Commission</w:t>
      </w:r>
    </w:p>
    <w:p>
      <w:pPr>
        <w:numPr>
          <w:ilvl w:val="0"/>
          <w:numId w:val="5"/>
        </w:numPr>
      </w:pPr>
      <w:r>
        <w:rPr/>
        <w:t xml:space="preserve">Private industry / Company</w:t>
      </w:r>
    </w:p>
    <w:p>
      <w:pPr>
        <w:numPr>
          <w:ilvl w:val="0"/>
          <w:numId w:val="5"/>
        </w:numPr>
      </w:pPr>
      <w:r>
        <w:rPr/>
        <w:t xml:space="preserve">National Government / Ministry</w:t>
      </w:r>
    </w:p>
    <w:p>
      <w:pPr>
        <w:pStyle w:val="Heading2"/>
      </w:pPr>
      <w:bookmarkStart w:id="11" w:name="_Toc13"/>
      <w:r>
        <w:t>Informed Consent</w:t>
      </w:r>
      <w:bookmarkEnd w:id="11"/>
    </w:p>
    <w:p>
      <w:pPr/>
      <w:r>
        <w:rPr/>
        <w:t xml:space="preserve">Consent not mentioned</w:t>
      </w:r>
    </w:p>
    <w:p>
      <w:pPr>
        <w:pStyle w:val="Heading2"/>
      </w:pPr>
      <w:bookmarkStart w:id="12" w:name="_Toc14"/>
      <w:r>
        <w:t>URL</w:t>
      </w:r>
      <w:bookmarkEnd w:id="12"/>
    </w:p>
    <w:p>
      <w:pPr/>
      <w:r>
        <w:rPr/>
        <w:t xml:space="preserve">https://www.saferinternet.at/services/jugend-internet-monitor/</w:t>
      </w:r>
    </w:p>
    <w:p>
      <w:pPr>
        <w:pStyle w:val="Heading2"/>
      </w:pPr>
      <w:bookmarkStart w:id="13" w:name="_Toc15"/>
      <w:r>
        <w:t>Data Set Availability</w:t>
      </w:r>
      <w:bookmarkEnd w:id="13"/>
    </w:p>
    <w:p>
      <w:pPr/>
      <w:r>
        <w:rPr/>
        <w:t xml:space="preserve">Not mentioned</w:t>
      </w:r>
    </w:p>
    <w:p>
      <w:pPr>
        <w:pStyle w:val="Heading1"/>
      </w:pPr>
      <w:bookmarkStart w:id="14" w:name="_Toc16"/>
      <w:r>
        <w:t>Goals</w:t>
      </w:r>
      <w:bookmarkEnd w:id="14"/>
    </w:p>
    <w:p>
      <w:pPr/>
      <w:r>
        <w:rPr/>
        <w:t xml:space="preserve">The Youth Internet Monitor is an initiative of saferinternet.at and presents current data on the social media use of Austria's young people. Which social networks are currently popular among young users in Austria? Which networks are most popular with girls? Which ones are the most popular with boys?
Since 2016, the Youth Internet Monitor is conducted every year in Austria.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CB3D8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2024-05-19T20:36:54+00:00</dcterms:created>
  <dcterms:modified xsi:type="dcterms:W3CDTF">2024-05-19T20:36:54+00:00</dcterms:modified>
</cp:coreProperties>
</file>

<file path=docProps/custom.xml><?xml version="1.0" encoding="utf-8"?>
<Properties xmlns="http://schemas.openxmlformats.org/officeDocument/2006/custom-properties" xmlns:vt="http://schemas.openxmlformats.org/officeDocument/2006/docPropsVTypes"/>
</file>