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Involvement in Online Hate among Adolescents from Eight Countries: Correlates and Coping Strategies (INTERACT)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2018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Multinational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>
        <w:numPr>
          <w:ilvl w:val="0"/>
          <w:numId w:val="5"/>
        </w:numPr>
      </w:pPr>
      <w:r>
        <w:rPr/>
        <w:t xml:space="preserve">Spain</w:t>
      </w:r>
    </w:p>
    <w:p>
      <w:pPr>
        <w:numPr>
          <w:ilvl w:val="0"/>
          <w:numId w:val="5"/>
        </w:numPr>
      </w:pPr>
      <w:r>
        <w:rPr/>
        <w:t xml:space="preserve">Cyprus</w:t>
      </w:r>
    </w:p>
    <w:p>
      <w:pPr>
        <w:numPr>
          <w:ilvl w:val="0"/>
          <w:numId w:val="5"/>
        </w:numPr>
      </w:pPr>
      <w:r>
        <w:rPr/>
        <w:t xml:space="preserve">Germany</w:t>
      </w:r>
    </w:p>
    <w:p>
      <w:pPr>
        <w:numPr>
          <w:ilvl w:val="0"/>
          <w:numId w:val="5"/>
        </w:numPr>
      </w:pPr>
      <w:r>
        <w:rPr/>
        <w:t xml:space="preserve">Greece</w:t>
      </w:r>
    </w:p>
    <w:p>
      <w:pPr>
        <w:numPr>
          <w:ilvl w:val="0"/>
          <w:numId w:val="5"/>
        </w:numPr>
      </w:pPr>
      <w:r>
        <w:rPr/>
        <w:t xml:space="preserve">Other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Other</w:t>
      </w:r>
    </w:p>
    <w:p>
      <w:pPr>
        <w:pStyle w:val="Heading2"/>
      </w:pPr>
      <w:bookmarkStart w:id="9" w:name="_Toc10"/>
      <w:r>
        <w:t>Other Childrens Age Group</w:t>
      </w:r>
      <w:bookmarkEnd w:id="9"/>
    </w:p>
    <w:p>
      <w:pPr/>
      <w:r>
        <w:rPr/>
        <w:t xml:space="preserve">12-18 YEARS OLD</w:t>
      </w:r>
    </w:p>
    <w:p>
      <w:pPr>
        <w:pStyle w:val="Heading2"/>
      </w:pPr>
      <w:bookmarkStart w:id="10" w:name="_Toc11"/>
      <w:r>
        <w:t>Has Formal Ethical Clearance</w:t>
      </w:r>
      <w:bookmarkEnd w:id="10"/>
    </w:p>
    <w:p>
      <w:pPr>
        <w:pStyle w:val="Heading2"/>
      </w:pPr>
      <w:bookmarkStart w:id="11" w:name="_Toc12"/>
      <w:r>
        <w:t>Consents</w:t>
      </w:r>
      <w:bookmarkEnd w:id="11"/>
    </w:p>
    <w:p>
      <w:pPr>
        <w:numPr>
          <w:ilvl w:val="0"/>
          <w:numId w:val="5"/>
        </w:numPr>
      </w:pPr>
      <w:r>
        <w:rPr/>
        <w:t xml:space="preserve">Consent obtained from parents</w:t>
      </w:r>
    </w:p>
    <w:p>
      <w:pPr>
        <w:numPr>
          <w:ilvl w:val="0"/>
          <w:numId w:val="5"/>
        </w:numPr>
      </w:pPr>
      <w:r>
        <w:rPr/>
        <w:t xml:space="preserve">Consent obtained from children</w:t>
      </w:r>
    </w:p>
    <w:p>
      <w:pPr>
        <w:numPr>
          <w:ilvl w:val="0"/>
          <w:numId w:val="5"/>
        </w:numPr>
      </w:pPr>
      <w:r>
        <w:rPr/>
        <w:t xml:space="preserve">Consent obtained from school officials / principal</w:t>
      </w:r>
    </w:p>
    <w:p>
      <w:pPr>
        <w:pStyle w:val="Heading2"/>
      </w:pPr>
      <w:bookmarkStart w:id="12" w:name="_Toc13"/>
      <w:r>
        <w:t>Informed Consent</w:t>
      </w:r>
      <w:bookmarkEnd w:id="12"/>
    </w:p>
    <w:p>
      <w:pPr/>
      <w:r>
        <w:rPr/>
        <w:t xml:space="preserve">Consent obtained</w:t>
      </w:r>
    </w:p>
    <w:p>
      <w:pPr>
        <w:pStyle w:val="Heading2"/>
      </w:pPr>
      <w:bookmarkStart w:id="13" w:name="_Toc14"/>
      <w:r>
        <w:t>Ethics</w:t>
      </w:r>
      <w:bookmarkEnd w:id="13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4" w:name="_Toc15"/>
      <w:r>
        <w:t>Data Set Availability</w:t>
      </w:r>
      <w:bookmarkEnd w:id="14"/>
    </w:p>
    <w:p>
      <w:pPr/>
      <w:r>
        <w:rPr/>
        <w:t xml:space="preserve">Not mentioned</w:t>
      </w:r>
    </w:p>
    <w:p>
      <w:pPr>
        <w:pStyle w:val="Heading1"/>
      </w:pPr>
      <w:bookmarkStart w:id="15" w:name="_Toc16"/>
      <w:r>
        <w:t>Goals</w:t>
      </w:r>
      <w:bookmarkEnd w:id="15"/>
    </w:p>
    <w:p>
      <w:pPr/>
      <w:r>
        <w:rPr/>
        <w:t xml:space="preserve">The project INTERACT aims to investigate in a sample of approx. 7,000 adolescents from Cyprus, Germany, Greece, India, South Korea, Spain, Thailand, and the USA a) intra- and interpersonal correlates of online hate involvement among and b) coping strategies adolescents use to deal with online hate.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C17F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2024-05-18T17:19:10+00:00</dcterms:created>
  <dcterms:modified xsi:type="dcterms:W3CDTF">2024-05-18T17:19:10+00:00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