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Research of the connection between Reading and Digital  literacy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Bulgaria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r>
        <w:rPr/>
        <w:t xml:space="preserve">Kids (6-10 Years old)</w:t>
      </w:r>
    </w:p>
    <w:p>
      <w:pPr>
        <w:pStyle w:val="Heading2"/>
      </w:pPr>
      <w:bookmarkStart w:id="9" w:name="_Toc10"/>
      <w:r>
        <w:t>Funder</w:t>
      </w:r>
      <w:bookmarkEnd w:id="9"/>
    </w:p>
    <w:p>
      <w:pPr/>
      <w:r>
        <w:rPr/>
        <w:t xml:space="preserve">Bulgarian Science Fund</w:t>
      </w:r>
    </w:p>
    <w:p>
      <w:pPr>
        <w:pStyle w:val="Heading2"/>
      </w:pPr>
      <w:bookmarkStart w:id="10" w:name="_Toc11"/>
      <w:r>
        <w:t>Funder Types</w:t>
      </w:r>
      <w:bookmarkEnd w:id="10"/>
    </w:p>
    <w:p>
      <w:pPr/>
      <w:r>
        <w:rPr/>
        <w:t xml:space="preserve">National Government / Ministry</w:t>
      </w:r>
    </w:p>
    <w:p>
      <w:pPr>
        <w:pStyle w:val="Heading2"/>
      </w:pPr>
      <w:bookmarkStart w:id="11" w:name="_Toc12"/>
      <w:r>
        <w:t>Informed Consent</w:t>
      </w:r>
      <w:bookmarkEnd w:id="11"/>
    </w:p>
    <w:p>
      <w:pPr/>
      <w:r>
        <w:rPr/>
        <w:t xml:space="preserve">Consent not mentioned</w:t>
      </w:r>
    </w:p>
    <w:p>
      <w:pPr>
        <w:pStyle w:val="Heading2"/>
      </w:pPr>
      <w:bookmarkStart w:id="12" w:name="_Toc13"/>
      <w:r>
        <w:t>URL</w:t>
      </w:r>
      <w:bookmarkEnd w:id="12"/>
    </w:p>
    <w:p>
      <w:pPr/>
      <w:r>
        <w:rPr/>
        <w:t xml:space="preserve">https://edulaboratory.org/publications/</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main purpose of the study is to seek the correlation between the formation of digital literacy in children up to 11 years and the development of their reading skills. This goal would be accomplished by solving the following tasks: to study parents' attitudes to digital technologies and their use by their children; to provoke the activity of parents to use digital technologies for the formation of reading and digital literacy of their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2025-10-14T01:45:59+00:00</dcterms:created>
  <dcterms:modified xsi:type="dcterms:W3CDTF">2025-10-14T01:45:59+00:00</dcterms:modified>
</cp:coreProperties>
</file>

<file path=docProps/custom.xml><?xml version="1.0" encoding="utf-8"?>
<Properties xmlns="http://schemas.openxmlformats.org/officeDocument/2006/custom-properties" xmlns:vt="http://schemas.openxmlformats.org/officeDocument/2006/docPropsVTypes"/>
</file>