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Internet im Alltag von Kindern, Jugendlichen und jungen Erwachsenen in Österreich</w:t>
      </w:r>
    </w:p>
    <w:p>
      <w:pPr>
        <w:pStyle w:val="Title"/>
      </w:pPr>
      <w:r>
        <w:t>Engl. transl.: Internet in the everyday life of children, adolescents and young adults in Austria</w:t>
      </w:r>
    </w:p>
    <w:p>
      <w:pPr>
        <w:pStyle w:val="Heading1"/>
      </w:pPr>
      <w:bookmarkStart w:id="1" w:name="_Toc3"/>
      <w:r>
        <w:t>Details</w:t>
      </w:r>
      <w:bookmarkEnd w:id="1"/>
    </w:p>
    <w:p>
      <w:pPr>
        <w:pStyle w:val="Heading2"/>
      </w:pPr>
      <w:bookmarkStart w:id="2" w:name="_Toc4"/>
      <w:r>
        <w:t>Year</w:t>
      </w:r>
      <w:bookmarkEnd w:id="2"/>
    </w:p>
    <w:p>
      <w:pPr/>
      <w:r>
        <w:rPr/>
        <w:t xml:space="preserve">2013</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Online quantitative methods (e.g. Online 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numPr>
          <w:ilvl w:val="0"/>
          <w:numId w:val="5"/>
        </w:numPr>
      </w:pPr>
      <w:r>
        <w:rPr/>
        <w:t xml:space="preserve">Young adults (19-24 Years old)</w:t>
      </w:r>
    </w:p>
    <w:p>
      <w:pPr>
        <w:numPr>
          <w:ilvl w:val="0"/>
          <w:numId w:val="5"/>
        </w:numPr>
      </w:pPr>
      <w:r>
        <w:rPr/>
        <w:t xml:space="preserve">Other</w:t>
      </w:r>
    </w:p>
    <w:p>
      <w:pPr>
        <w:pStyle w:val="Heading2"/>
      </w:pPr>
      <w:bookmarkStart w:id="9" w:name="_Toc11"/>
      <w:r>
        <w:t>Other Childrens Age Group</w:t>
      </w:r>
      <w:bookmarkEnd w:id="9"/>
    </w:p>
    <w:p>
      <w:pPr/>
      <w:r>
        <w:rPr/>
        <w:t xml:space="preserve">Young adults (25-30 Years old)</w:t>
      </w:r>
    </w:p>
    <w:p>
      <w:pPr>
        <w:pStyle w:val="Heading2"/>
      </w:pPr>
      <w:bookmarkStart w:id="10" w:name="_Toc12"/>
      <w:r>
        <w:t>Funder</w:t>
      </w:r>
      <w:bookmarkEnd w:id="10"/>
    </w:p>
    <w:p>
      <w:pPr/>
      <w:r>
        <w:rPr/>
        <w:t xml:space="preserve">University of Salzburg; Salzburg University of Education</w:t>
      </w:r>
    </w:p>
    <w:p>
      <w:pPr>
        <w:pStyle w:val="Heading2"/>
      </w:pPr>
      <w:bookmarkStart w:id="11" w:name="_Toc13"/>
      <w:r>
        <w:t>Funder Types</w:t>
      </w:r>
      <w:bookmarkEnd w:id="11"/>
    </w:p>
    <w:p>
      <w:pPr/>
      <w:r>
        <w:rPr/>
        <w:t xml:space="preserve">University</w:t>
      </w:r>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pStyle w:val="Heading2"/>
      </w:pPr>
      <w:bookmarkStart w:id="15" w:name="_Toc17"/>
      <w:r>
        <w:t>URL</w:t>
      </w:r>
      <w:bookmarkEnd w:id="15"/>
    </w:p>
    <w:p>
      <w:pPr/>
      <w:r>
        <w:rPr/>
        <w:t xml:space="preserve">https://www.phsalzburg.at/files/Forschung/Forschungsprojekte/G-BE_Grundlagen_von_Bildung_und_Erziehung/truelzsch_Internet_im_Alltag_von_Kindern.pdf</w:t>
      </w:r>
    </w:p>
    <w:p>
      <w:pPr>
        <w:pStyle w:val="Heading2"/>
      </w:pPr>
      <w:bookmarkStart w:id="16" w:name="_Toc18"/>
      <w:r>
        <w:t>Data Set Availability</w:t>
      </w:r>
      <w:bookmarkEnd w:id="16"/>
    </w:p>
    <w:p>
      <w:pPr/>
      <w:r>
        <w:rPr/>
        <w:t xml:space="preserve">Data availability statement in the publication</w:t>
      </w:r>
    </w:p>
    <w:p>
      <w:pPr>
        <w:pStyle w:val="Heading1"/>
      </w:pPr>
      <w:bookmarkStart w:id="17" w:name="_Toc19"/>
      <w:r>
        <w:t>Goals</w:t>
      </w:r>
      <w:bookmarkEnd w:id="17"/>
    </w:p>
    <w:p>
      <w:pPr/>
      <w:r>
        <w:rPr/>
        <w:t xml:space="preserve">Quantitative survey (N = 2,491) of usage practices with regard to the social web in the age group from 10 to 30 years in the city and state of Salzburg as well as in Vienna. The focus was in particular on individual concepts of public and private sphere, on dealing with images and on self-assessment with regard to different competencies in dealing with the social web.</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A901E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2024-05-03T16:01:52+00:00</dcterms:created>
  <dcterms:modified xsi:type="dcterms:W3CDTF">2024-05-03T16:01:52+00:00</dcterms:modified>
</cp:coreProperties>
</file>

<file path=docProps/custom.xml><?xml version="1.0" encoding="utf-8"?>
<Properties xmlns="http://schemas.openxmlformats.org/officeDocument/2006/custom-properties" xmlns:vt="http://schemas.openxmlformats.org/officeDocument/2006/docPropsVTypes"/>
</file>