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Children, Smart Toys and the Internet of Things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Austria</w:t>
      </w:r>
    </w:p>
    <w:p>
      <w:pPr>
        <w:numPr>
          <w:ilvl w:val="0"/>
          <w:numId w:val="5"/>
        </w:numPr>
      </w:pPr>
      <w:r>
        <w:rPr/>
        <w:t xml:space="preserve">Germany</w:t>
      </w:r>
    </w:p>
    <w:p>
      <w:pPr>
        <w:numPr>
          <w:ilvl w:val="0"/>
          <w:numId w:val="5"/>
        </w:numPr>
      </w:pPr>
      <w:r>
        <w:rPr/>
        <w:t xml:space="preserve">Finland</w:t>
      </w:r>
    </w:p>
    <w:p>
      <w:pPr>
        <w:numPr>
          <w:ilvl w:val="0"/>
          <w:numId w:val="5"/>
        </w:numPr>
      </w:pPr>
      <w:r>
        <w:rPr/>
        <w:t xml:space="preserve">Iceland</w:t>
      </w:r>
    </w:p>
    <w:p>
      <w:pPr>
        <w:numPr>
          <w:ilvl w:val="0"/>
          <w:numId w:val="5"/>
        </w:numPr>
      </w:pPr>
      <w:r>
        <w:rPr/>
        <w:t xml:space="preserve">Italy</w:t>
      </w:r>
    </w:p>
    <w:p>
      <w:pPr>
        <w:numPr>
          <w:ilvl w:val="0"/>
          <w:numId w:val="5"/>
        </w:numPr>
      </w:pPr>
      <w:r>
        <w:rPr/>
        <w:t xml:space="preserve">Lithuania</w:t>
      </w:r>
    </w:p>
    <w:p>
      <w:pPr>
        <w:numPr>
          <w:ilvl w:val="0"/>
          <w:numId w:val="5"/>
        </w:numPr>
      </w:pPr>
      <w:r>
        <w:rPr/>
        <w:t xml:space="preserve">Malta</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Slovenia</w:t>
      </w:r>
    </w:p>
    <w:p>
      <w:pPr>
        <w:numPr>
          <w:ilvl w:val="0"/>
          <w:numId w:val="5"/>
        </w:numPr>
      </w:pPr>
      <w:r>
        <w:rPr/>
        <w:t xml:space="preserve">Serbia</w:t>
      </w:r>
    </w:p>
    <w:p>
      <w:pPr>
        <w:numPr>
          <w:ilvl w:val="0"/>
          <w:numId w:val="5"/>
        </w:numPr>
      </w:pPr>
      <w:r>
        <w:rPr/>
        <w:t xml:space="preserve">Spain</w:t>
      </w:r>
    </w:p>
    <w:p>
      <w:pPr>
        <w:numPr>
          <w:ilvl w:val="0"/>
          <w:numId w:val="5"/>
        </w:numPr>
      </w:pPr>
      <w:r>
        <w:rPr/>
        <w:t xml:space="preserve">United Kingdom</w:t>
      </w:r>
    </w:p>
    <w:p>
      <w:pPr>
        <w:numPr>
          <w:ilvl w:val="0"/>
          <w:numId w:val="5"/>
        </w:numPr>
      </w:pPr>
      <w:r>
        <w:rPr/>
        <w:t xml:space="preserve">Other</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pStyle w:val="Heading2"/>
      </w:pPr>
      <w:bookmarkStart w:id="7" w:name="_Toc8"/>
      <w:r>
        <w:t>Other Methodology</w:t>
      </w:r>
      <w:bookmarkEnd w:id="7"/>
    </w:p>
    <w:p>
      <w:pPr/>
      <w:r>
        <w:rPr/>
        <w:t xml:space="preserve">Discourse analysis</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numPr>
          <w:ilvl w:val="0"/>
          <w:numId w:val="5"/>
        </w:numPr>
      </w:pPr>
      <w:r>
        <w:rPr/>
        <w:t xml:space="preserve">Preschool (0-5 Years old)</w:t>
      </w:r>
    </w:p>
    <w:p>
      <w:pPr>
        <w:numPr>
          <w:ilvl w:val="0"/>
          <w:numId w:val="5"/>
        </w:numPr>
      </w:pPr>
      <w:r>
        <w:rPr/>
        <w:t xml:space="preserve">Kids (6-10 Years old)</w:t>
      </w:r>
    </w:p>
    <w:p>
      <w:pPr>
        <w:numPr>
          <w:ilvl w:val="0"/>
          <w:numId w:val="5"/>
        </w:numPr>
      </w:pPr>
      <w:r>
        <w:rPr/>
        <w:t xml:space="preserve">Pre-adolescents (11-13 Years old)</w:t>
      </w:r>
    </w:p>
    <w:p>
      <w:pPr>
        <w:pStyle w:val="Heading2"/>
      </w:pPr>
      <w:bookmarkStart w:id="10" w:name="_Toc11"/>
      <w:r>
        <w:t>Funder</w:t>
      </w:r>
      <w:bookmarkEnd w:id="10"/>
    </w:p>
    <w:p>
      <w:pPr/>
      <w:r>
        <w:rPr/>
        <w:t xml:space="preserve">COST Action IS IS1410</w:t>
      </w:r>
    </w:p>
    <w:p>
      <w:pPr>
        <w:pStyle w:val="Heading2"/>
      </w:pPr>
      <w:bookmarkStart w:id="11" w:name="_Toc12"/>
      <w:r>
        <w:t>Funder Types</w:t>
      </w:r>
      <w:bookmarkEnd w:id="11"/>
    </w:p>
    <w:p>
      <w:pPr/>
      <w:r>
        <w:rPr/>
        <w:t xml:space="preserve">Other</w:t>
      </w:r>
    </w:p>
    <w:p>
      <w:pPr>
        <w:pStyle w:val="Heading2"/>
      </w:pPr>
      <w:bookmarkStart w:id="12" w:name="_Toc13"/>
      <w:r>
        <w:t>Other Funder Type</w:t>
      </w:r>
      <w:bookmarkEnd w:id="12"/>
    </w:p>
    <w:p>
      <w:pPr/>
      <w:r>
        <w:rPr/>
        <w:t xml:space="preserve">European Cooperation in Science and Technology</w:t>
      </w:r>
    </w:p>
    <w:p>
      <w:pPr>
        <w:pStyle w:val="Heading2"/>
      </w:pPr>
      <w:bookmarkStart w:id="13" w:name="_Toc14"/>
      <w:r>
        <w:t>Informed Consent</w:t>
      </w:r>
      <w:bookmarkEnd w:id="13"/>
    </w:p>
    <w:p>
      <w:pPr/>
      <w:r>
        <w:rPr/>
        <w:t xml:space="preserve">Consent not mentioned</w:t>
      </w:r>
    </w:p>
    <w:p>
      <w:pPr>
        <w:pStyle w:val="Heading2"/>
      </w:pPr>
      <w:bookmarkStart w:id="14" w:name="_Toc15"/>
      <w:r>
        <w:t>Ethics</w:t>
      </w:r>
      <w:bookmarkEnd w:id="14"/>
    </w:p>
    <w:p>
      <w:pPr>
        <w:pStyle w:val="Heading2"/>
      </w:pPr>
      <w:bookmarkStart w:id="15" w:name="_Toc16"/>
      <w:r>
        <w:t>URL</w:t>
      </w:r>
      <w:bookmarkEnd w:id="15"/>
    </w:p>
    <w:p>
      <w:pPr/>
      <w:r>
        <w:rPr/>
        <w:t xml:space="preserve">https://www.phsalzburg.at/files/Forschung/Forschungsprojekte/G-BE_Grundlagen_von_Bildung_und_Erziehung/2020_a._trueltzsch_young.pdf</w:t>
      </w:r>
    </w:p>
    <w:p>
      <w:pPr>
        <w:pStyle w:val="Heading2"/>
      </w:pPr>
      <w:bookmarkStart w:id="16" w:name="_Toc17"/>
      <w:r>
        <w:t>Data Set Availability</w:t>
      </w:r>
      <w:bookmarkEnd w:id="16"/>
    </w:p>
    <w:p>
      <w:pPr/>
      <w:r>
        <w:rPr/>
        <w:t xml:space="preserve">Data availability statement in the publication</w:t>
      </w:r>
    </w:p>
    <w:p>
      <w:pPr>
        <w:pStyle w:val="Heading1"/>
      </w:pPr>
      <w:bookmarkStart w:id="17" w:name="_Toc18"/>
      <w:r>
        <w:t>Goals</w:t>
      </w:r>
      <w:bookmarkEnd w:id="17"/>
    </w:p>
    <w:p>
      <w:pPr/>
      <w:r>
        <w:rPr/>
        <w:t xml:space="preserve">The core of this project was an international comparative analysis of the public discourse on smart toys in Europe (Germany, Finland, Iceland, Italy, Lithuania, Malta). public discourse on smart toys in Europe (Austria, Finland, Germany, Iceland, Italy, Lithuania, Malta, Portugal, Romania, Serbia, Slovenia, Spain, United Kingdom) and Australia. A special focus was on the age group of 0 to 8 year olds; in addition, public discourses with regard to older public discourses with regard to older children and adolescents were also analysed. The project was divided into two parts. The first part of this project was the analysis of public reporting on smart toys and the Internet of Things in relation to of Things in relation to children in Europe. A survey was carried out between November 2016 and January 2017 and the data was evaluated in spring and summer 2017. analysed in spring and summer 2017. In the second part of the project, the focus was on the German-speaking region. A second wave of surveys with an identical research design was carried out between November 2017 and January 2018 in order to compare the data accordingly. data and to identify changes and shifts in the public discourse. in the public discourse. The data analysis took place in the spring and summer of 2018 and was compared with results from the international partner countries. In spring 2019, another survey was conducted with the same research design. research design, with the aim of conducting a longitudinal study that would comparison over three years. After project completion, the annual surveys in Germany and Austria will be continued.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712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2025-10-15T10:06:08+00:00</dcterms:created>
  <dcterms:modified xsi:type="dcterms:W3CDTF">2025-10-15T10:06:08+00:00</dcterms:modified>
</cp:coreProperties>
</file>

<file path=docProps/custom.xml><?xml version="1.0" encoding="utf-8"?>
<Properties xmlns="http://schemas.openxmlformats.org/officeDocument/2006/custom-properties" xmlns:vt="http://schemas.openxmlformats.org/officeDocument/2006/docPropsVTypes"/>
</file>