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Zivilcourage 2.0</w:t>
      </w:r>
    </w:p>
    <w:p>
      <w:pPr>
        <w:pStyle w:val="Title"/>
      </w:pPr>
      <w:r>
        <w:t>Engl. transl.: Civic Courage 2.0</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Experimental / Quasi-experimental</w:t>
      </w:r>
    </w:p>
    <w:p>
      <w:pPr>
        <w:numPr>
          <w:ilvl w:val="0"/>
          <w:numId w:val="5"/>
        </w:numPr>
      </w:pPr>
      <w:r>
        <w:rPr/>
        <w:t xml:space="preserve">Online quantitative methods (e.g. Online survey)</w:t>
      </w:r>
    </w:p>
    <w:p>
      <w:pPr>
        <w:numPr>
          <w:ilvl w:val="0"/>
          <w:numId w:val="5"/>
        </w:numPr>
      </w:pPr>
      <w:r>
        <w:rPr/>
        <w:t xml:space="preserve">Other</w:t>
      </w:r>
    </w:p>
    <w:p>
      <w:pPr>
        <w:pStyle w:val="Heading2"/>
      </w:pPr>
      <w:bookmarkStart w:id="7" w:name="_Toc9"/>
      <w:r>
        <w:t>Other Methodology</w:t>
      </w:r>
      <w:bookmarkEnd w:id="7"/>
    </w:p>
    <w:p>
      <w:pPr/>
      <w:r>
        <w:rPr/>
        <w:t xml:space="preserve">Vignette design</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Youth workers</w:t>
      </w:r>
    </w:p>
    <w:p>
      <w:pPr>
        <w:numPr>
          <w:ilvl w:val="0"/>
          <w:numId w:val="5"/>
        </w:numPr>
      </w:pPr>
      <w:r>
        <w:rPr/>
        <w:t xml:space="preserve">Other practitioners working with children</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KIRAS / Bundesministerium für Verkehr, Innovation und Technologie</w:t>
      </w:r>
    </w:p>
    <w:p>
      <w:pPr>
        <w:pStyle w:val="Heading2"/>
      </w:pPr>
      <w:bookmarkStart w:id="11" w:name="_Toc13"/>
      <w:r>
        <w:t>Funder Types</w:t>
      </w:r>
      <w:bookmarkEnd w:id="11"/>
    </w:p>
    <w:p>
      <w:pPr/>
      <w:r>
        <w:rPr/>
        <w:t xml:space="preserve">National Government / Ministry</w:t>
      </w:r>
    </w:p>
    <w:p>
      <w:pPr>
        <w:pStyle w:val="Heading2"/>
      </w:pPr>
      <w:bookmarkStart w:id="12" w:name="_Toc14"/>
      <w:r>
        <w:t>Has Formal Ethical Clearance</w:t>
      </w:r>
      <w:bookmarkEnd w:id="12"/>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pStyle w:val="Heading2"/>
      </w:pPr>
      <w:bookmarkStart w:id="16" w:name="_Toc18"/>
      <w:r>
        <w:t>URL</w:t>
      </w:r>
      <w:bookmarkEnd w:id="16"/>
    </w:p>
    <w:p>
      <w:pPr/>
      <w:r>
        <w:rPr/>
        <w:t xml:space="preserve">https://www.kiras.at/gefoerderte-projekte/detail/d/zivilcourage-20/</w:t>
      </w:r>
    </w:p>
    <w:p>
      <w:pPr>
        <w:pStyle w:val="Heading2"/>
      </w:pPr>
      <w:bookmarkStart w:id="17" w:name="_Toc19"/>
      <w:r>
        <w:t>Data Set Availability</w:t>
      </w:r>
      <w:bookmarkEnd w:id="17"/>
    </w:p>
    <w:p>
      <w:pPr/>
      <w:r>
        <w:rPr/>
        <w:t xml:space="preserve">Data availability statement in the publication</w:t>
      </w:r>
    </w:p>
    <w:p>
      <w:pPr>
        <w:pStyle w:val="Heading1"/>
      </w:pPr>
      <w:bookmarkStart w:id="18" w:name="_Toc20"/>
      <w:r>
        <w:t>Goals</w:t>
      </w:r>
      <w:bookmarkEnd w:id="18"/>
    </w:p>
    <w:p>
      <w:pPr/>
      <w:r>
        <w:rPr/>
        <w:t xml:space="preserve">The research project "Civil Courage 2.0" therefore set itself the goal of investigating what inhibits young people from acting with civil courage in online contexts and how this can be promoted. For this purpose, 19 qualitative group discussions with 142 14- to 19-year-old Viennese young people, a representative survey of 1,868 14- to 19-year-old Viennese pupils using a vignette experiment to simulate online assaults as well as 17 interviews with experts from the youth sector were conducted.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7D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2025-11-04T14:41:31+00:00</dcterms:created>
  <dcterms:modified xsi:type="dcterms:W3CDTF">2025-11-04T14:41:31+00:00</dcterms:modified>
</cp:coreProperties>
</file>

<file path=docProps/custom.xml><?xml version="1.0" encoding="utf-8"?>
<Properties xmlns="http://schemas.openxmlformats.org/officeDocument/2006/custom-properties" xmlns:vt="http://schemas.openxmlformats.org/officeDocument/2006/docPropsVTypes"/>
</file>