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Tabakprävention. Partizipatives Kommunikationsmodell mit Kindern und Jugendlichen</w:t>
      </w:r>
    </w:p>
    <w:p>
      <w:pPr>
        <w:pStyle w:val="Title"/>
      </w:pPr>
      <w:r>
        <w:t>Engl. transl.: Smoking prevention. Participatory communication model with children and young people</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Focus group</w:t>
      </w:r>
    </w:p>
    <w:p>
      <w:pPr>
        <w:numPr>
          <w:ilvl w:val="0"/>
          <w:numId w:val="5"/>
        </w:numPr>
      </w:pPr>
      <w:r>
        <w:rPr/>
        <w:t xml:space="preserve">Secondary analysis</w:t>
      </w:r>
    </w:p>
    <w:p>
      <w:pPr>
        <w:numPr>
          <w:ilvl w:val="0"/>
          <w:numId w:val="5"/>
        </w:numPr>
      </w:pPr>
      <w:r>
        <w:rPr/>
        <w:t xml:space="preserve">Textual / documentary / content analysis</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Federal Ministry of Health, Fonds Gesundes Österreich</w:t>
      </w:r>
    </w:p>
    <w:p>
      <w:pPr>
        <w:pStyle w:val="Heading2"/>
      </w:pPr>
      <w:bookmarkStart w:id="10" w:name="_Toc12"/>
      <w:r>
        <w:t>Funder Types</w:t>
      </w:r>
      <w:bookmarkEnd w:id="10"/>
    </w:p>
    <w:p>
      <w:pPr>
        <w:pStyle w:val="Heading2"/>
      </w:pPr>
      <w:bookmarkStart w:id="11" w:name="_Toc13"/>
      <w:r>
        <w:t>Consents</w:t>
      </w:r>
      <w:bookmarkEnd w:id="11"/>
    </w:p>
    <w:p>
      <w:pPr/>
      <w:r>
        <w:rPr/>
        <w:t xml:space="preserve">Consent obtained from parents</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pStyle w:val="Heading2"/>
      </w:pPr>
      <w:bookmarkStart w:id="14" w:name="_Toc16"/>
      <w:r>
        <w:t>URL</w:t>
      </w:r>
      <w:bookmarkEnd w:id="14"/>
    </w:p>
    <w:p>
      <w:pPr/>
      <w:r>
        <w:rPr/>
        <w:t xml:space="preserve">https://yolo.at/downloads/Projektbericht_Tabakpraevention.pdf</w:t>
      </w:r>
    </w:p>
    <w:p>
      <w:pPr>
        <w:pStyle w:val="Heading2"/>
      </w:pPr>
      <w:bookmarkStart w:id="15" w:name="_Toc17"/>
      <w:r>
        <w:t>Data Set Availability</w:t>
      </w:r>
      <w:bookmarkEnd w:id="15"/>
    </w:p>
    <w:p>
      <w:pPr/>
      <w:r>
        <w:rPr/>
        <w:t xml:space="preserve">Data availability statement in the publication</w:t>
      </w:r>
    </w:p>
    <w:p>
      <w:pPr>
        <w:pStyle w:val="Heading1"/>
      </w:pPr>
      <w:bookmarkStart w:id="16" w:name="_Toc18"/>
      <w:r>
        <w:t>Goals</w:t>
      </w:r>
      <w:bookmarkEnd w:id="16"/>
    </w:p>
    <w:p>
      <w:pPr/>
      <w:r>
        <w:rPr/>
        <w:t xml:space="preserve">"In 2003, Austria signed the WHO Framework Convention on Tobacco Control and ratified it in September 2005. Tobacco Control Convention in 2003 and ratified it in September 2005. Austria has committed itself to taking interdepartmental measures for comprehensive tobacco prevention, to create awareness for the concerns of "smoking prevention" and to reduce and to reduce tobacco consumption in all sections of the population." (Großegger et al., 2015, 2; translated by the coder)
"Smoking is considered one of the greatest preventable health risks and the cause of many diseases, from cardiovascular and respiratory diseases to cancer. respiratory diseases to cancer, "whereby the risk of disease increases with an early start of consumption and the duration of exposure" (Lampert 2010: 57). To initiate a trend towards non-smoking among young people is therefore an important goal of health of health promotion and prevention." (Großegger et al., 2015, 4; translated by the coder)
"An international comparison shows, that the share of young smokers in Austria is above average. Across the OECD, Austria occupies the inglorious first place for tobacco consumption in the 15-year-old age group, just ahead of the Czech Republic and Hungary (cf. OECD 2013: 46f)." (Großegger et al., 2015, 6; translated by the coder)
Online communication plays a central role for both the field of advertising and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EC7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2025-10-14T10:15:40+00:00</dcterms:created>
  <dcterms:modified xsi:type="dcterms:W3CDTF">2025-10-14T10:15:40+00:00</dcterms:modified>
</cp:coreProperties>
</file>

<file path=docProps/custom.xml><?xml version="1.0" encoding="utf-8"?>
<Properties xmlns="http://schemas.openxmlformats.org/officeDocument/2006/custom-properties" xmlns:vt="http://schemas.openxmlformats.org/officeDocument/2006/docPropsVTypes"/>
</file>