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Jugend und digitale Medien</w:t>
      </w:r>
    </w:p>
    <w:p>
      <w:pPr>
        <w:pStyle w:val="Title"/>
      </w:pPr>
      <w:r>
        <w:t>Engl. transl.: Youth and Digital Media</w:t>
      </w:r>
    </w:p>
    <w:p>
      <w:pPr>
        <w:pStyle w:val="Heading1"/>
      </w:pPr>
      <w:bookmarkStart w:id="1" w:name="_Toc3"/>
      <w:r>
        <w:t>Details</w:t>
      </w:r>
      <w:bookmarkEnd w:id="1"/>
    </w:p>
    <w:p>
      <w:pPr>
        <w:pStyle w:val="Heading2"/>
      </w:pPr>
      <w:bookmarkStart w:id="2" w:name="_Toc4"/>
      <w:r>
        <w:t>Year</w:t>
      </w:r>
      <w:bookmarkEnd w:id="2"/>
    </w:p>
    <w:p>
      <w:pPr/>
      <w:r>
        <w:rPr/>
        <w:t xml:space="preserve">2018</w:t>
      </w:r>
    </w:p>
    <w:p>
      <w:pPr>
        <w:pStyle w:val="Heading2"/>
      </w:pPr>
      <w:bookmarkStart w:id="3" w:name="_Toc5"/>
      <w:r>
        <w:t>Scope</w:t>
      </w:r>
      <w:bookmarkEnd w:id="3"/>
    </w:p>
    <w:p>
      <w:pPr/>
      <w:r>
        <w:rPr/>
        <w:t xml:space="preserve">National</w:t>
      </w:r>
    </w:p>
    <w:p>
      <w:pPr>
        <w:pStyle w:val="Heading2"/>
      </w:pPr>
      <w:bookmarkStart w:id="4" w:name="_Toc6"/>
      <w:r>
        <w:t>Countries</w:t>
      </w:r>
      <w:bookmarkEnd w:id="4"/>
    </w:p>
    <w:p>
      <w:pPr/>
      <w:r>
        <w:rPr/>
        <w:t xml:space="preserve">Austria</w:t>
      </w:r>
    </w:p>
    <w:p>
      <w:pPr>
        <w:pStyle w:val="Heading2"/>
      </w:pPr>
      <w:bookmarkStart w:id="5" w:name="_Toc7"/>
      <w:r>
        <w:t>Type</w:t>
      </w:r>
      <w:bookmarkEnd w:id="5"/>
    </w:p>
    <w:p>
      <w:pPr/>
      <w:r>
        <w:rPr/>
        <w:t xml:space="preserve">Empirical research – Quantitative</w:t>
      </w:r>
    </w:p>
    <w:p>
      <w:pPr>
        <w:pStyle w:val="Heading2"/>
      </w:pPr>
      <w:bookmarkStart w:id="6" w:name="_Toc8"/>
      <w:r>
        <w:t>Methodologies</w:t>
      </w:r>
      <w:bookmarkEnd w:id="6"/>
    </w:p>
    <w:p>
      <w:pPr/>
      <w:r>
        <w:rPr/>
        <w:t xml:space="preserve">Online quantitative methods (e.g. Online survey)</w:t>
      </w:r>
    </w:p>
    <w:p>
      <w:pPr>
        <w:pStyle w:val="Heading2"/>
      </w:pPr>
      <w:bookmarkStart w:id="7" w:name="_Toc9"/>
      <w:r>
        <w:t>Researched Groups</w:t>
      </w:r>
      <w:bookmarkEnd w:id="7"/>
    </w:p>
    <w:p>
      <w:pPr/>
      <w:r>
        <w:rPr/>
        <w:t xml:space="preserve">Children</w:t>
      </w:r>
    </w:p>
    <w:p>
      <w:pPr>
        <w:pStyle w:val="Heading2"/>
      </w:pPr>
      <w:bookmarkStart w:id="8" w:name="_Toc10"/>
      <w:r>
        <w:t>Children Ages</w:t>
      </w:r>
      <w:bookmarkEnd w:id="8"/>
    </w:p>
    <w:p>
      <w:pPr>
        <w:pStyle w:val="Heading2"/>
      </w:pPr>
      <w:bookmarkStart w:id="9" w:name="_Toc11"/>
      <w:r>
        <w:t>Funder</w:t>
      </w:r>
      <w:bookmarkEnd w:id="9"/>
    </w:p>
    <w:p>
      <w:pPr/>
      <w:r>
        <w:rPr/>
        <w:t xml:space="preserve">Institut für Jugendkulturforschung</w:t>
      </w:r>
    </w:p>
    <w:p>
      <w:pPr>
        <w:pStyle w:val="Heading2"/>
      </w:pPr>
      <w:bookmarkStart w:id="10" w:name="_Toc12"/>
      <w:r>
        <w:t>Funder Types</w:t>
      </w:r>
      <w:bookmarkEnd w:id="10"/>
    </w:p>
    <w:p>
      <w:pPr/>
      <w:r>
        <w:rPr/>
        <w:t xml:space="preserve">Other</w:t>
      </w:r>
    </w:p>
    <w:p>
      <w:pPr>
        <w:pStyle w:val="Heading2"/>
      </w:pPr>
      <w:bookmarkStart w:id="11" w:name="_Toc13"/>
      <w:r>
        <w:t>Other Funder Type</w:t>
      </w:r>
      <w:bookmarkEnd w:id="11"/>
    </w:p>
    <w:p>
      <w:pPr/>
      <w:r>
        <w:rPr/>
        <w:t xml:space="preserve">Non-profit research organisation</w:t>
      </w:r>
    </w:p>
    <w:p>
      <w:pPr>
        <w:pStyle w:val="Heading2"/>
      </w:pPr>
      <w:bookmarkStart w:id="12" w:name="_Toc14"/>
      <w:r>
        <w:t>Consents</w:t>
      </w:r>
      <w:bookmarkEnd w:id="12"/>
    </w:p>
    <w:p>
      <w:pPr>
        <w:pStyle w:val="Heading2"/>
      </w:pPr>
      <w:bookmarkStart w:id="13" w:name="_Toc15"/>
      <w:r>
        <w:t>Informed Consent</w:t>
      </w:r>
      <w:bookmarkEnd w:id="13"/>
    </w:p>
    <w:p>
      <w:pPr/>
      <w:r>
        <w:rPr/>
        <w:t xml:space="preserve">Consent obtained</w:t>
      </w:r>
    </w:p>
    <w:p>
      <w:pPr>
        <w:pStyle w:val="Heading2"/>
      </w:pPr>
      <w:bookmarkStart w:id="14" w:name="_Toc16"/>
      <w:r>
        <w:t>URL</w:t>
      </w:r>
      <w:bookmarkEnd w:id="14"/>
    </w:p>
    <w:p>
      <w:pPr/>
      <w:r>
        <w:rPr/>
        <w:t xml:space="preserve">https://jugendkultur.at/studie-jugend-digitale-medien/</w:t>
      </w:r>
    </w:p>
    <w:p>
      <w:pPr>
        <w:pStyle w:val="Heading2"/>
      </w:pPr>
      <w:bookmarkStart w:id="15" w:name="_Toc17"/>
      <w:r>
        <w:t>Data Set Availability</w:t>
      </w:r>
      <w:bookmarkEnd w:id="15"/>
    </w:p>
    <w:p>
      <w:pPr/>
      <w:r>
        <w:rPr/>
        <w:t xml:space="preserve">Data availability statement in the publication</w:t>
      </w:r>
    </w:p>
    <w:p>
      <w:pPr>
        <w:pStyle w:val="Heading1"/>
      </w:pPr>
      <w:bookmarkStart w:id="16" w:name="_Toc18"/>
      <w:r>
        <w:t>Goals</w:t>
      </w:r>
      <w:bookmarkEnd w:id="16"/>
    </w:p>
    <w:p>
      <w:pPr/>
      <w:r>
        <w:rPr/>
        <w:t xml:space="preserve">"Young people who are well educated show a particular closeness to social media. Their position as trendsetters is considered unquestioned in expert circles. The Institute for Youth Culture Research surveyed 300 educated "digital natives" aged 16 to 24 on their digital communication mix. The study shows that social media have become an integral part of youth culture. Smartphone saturation in the target group is almost 100%, mobile use in real time is becoming a self-prescribed medicine against "FOMO" (Fear of missing out) among young people." (Großegger, 2018, 1; translated by the coder)</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19 May 2024</w:t>
    </w:r>
  </w:p>
  <w:p>
    <w:pPr/>
    <w:r>
      <w:rPr/>
      <w:t xml:space="preserve">Study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2024-05-19T11:57:45+00:00</dcterms:created>
  <dcterms:modified xsi:type="dcterms:W3CDTF">2024-05-19T11:57:45+00:00</dcterms:modified>
</cp:coreProperties>
</file>

<file path=docProps/custom.xml><?xml version="1.0" encoding="utf-8"?>
<Properties xmlns="http://schemas.openxmlformats.org/officeDocument/2006/custom-properties" xmlns:vt="http://schemas.openxmlformats.org/officeDocument/2006/docPropsVTypes"/>
</file>