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Sexuelle Belästigung und Gewalt im Internet in den Lebenswelten der 11 bis 18-Jährigen</w:t>
      </w:r>
    </w:p>
    <w:p>
      <w:pPr>
        <w:pStyle w:val="Title"/>
      </w:pPr>
      <w:r>
        <w:t>Engl. transl.: Sexual harassment and violence on the internet in the lifeworlds of 11 to 18-year-olds</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SOS-Kinderdorf; Rat auf Draht</w:t>
      </w:r>
    </w:p>
    <w:p>
      <w:pPr>
        <w:pStyle w:val="Heading2"/>
      </w:pPr>
      <w:bookmarkStart w:id="10" w:name="_Toc12"/>
      <w:r>
        <w:t>Funder Types</w:t>
      </w:r>
      <w:bookmarkEnd w:id="10"/>
    </w:p>
    <w:p>
      <w:pPr/>
      <w:r>
        <w:rPr/>
        <w:t xml:space="preserve">NGO (Advocacy, Charity, Consumer  organization)</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pStyle w:val="Heading2"/>
      </w:pPr>
      <w:bookmarkStart w:id="14" w:name="_Toc16"/>
      <w:r>
        <w:t>URL</w:t>
      </w:r>
      <w:bookmarkEnd w:id="14"/>
    </w:p>
    <w:p>
      <w:pPr/>
      <w:r>
        <w:rPr/>
        <w:t xml:space="preserve">https://www.sos-kinderdorf.at/so-hilft-sos/einsatz-fur-kinderrechte/sicheronline/studie</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"SOS-Kinderdorf and Rat auf Draht commissioned the Institute for Youth Culture Research to collect data on sexual harassment and violence among children and young people on the internet throughout Austria for the first time and to conduct a representative survey among 400 children and young people aged 11 to 18. In-depth interviews were conducted with 6 young people." (SOS-Kinderdorf, 2020,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2025-10-13T23:41:45+00:00</dcterms:created>
  <dcterms:modified xsi:type="dcterms:W3CDTF">2025-10-13T23:41:45+00:00</dcterms:modified>
</cp:coreProperties>
</file>

<file path=docProps/custom.xml><?xml version="1.0" encoding="utf-8"?>
<Properties xmlns="http://schemas.openxmlformats.org/officeDocument/2006/custom-properties" xmlns:vt="http://schemas.openxmlformats.org/officeDocument/2006/docPropsVTypes"/>
</file>