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Виртуална педагогическа реторика и обучение в онлайн среда</w:t>
      </w:r>
    </w:p>
    <w:p>
      <w:pPr>
        <w:pStyle w:val="Title"/>
      </w:pPr>
      <w:r>
        <w:t>Engl. transl.: Virtual pedagogical rhetoric and education in online environment</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Experimental / Quasi-experimental</w:t>
      </w:r>
    </w:p>
    <w:p>
      <w:pPr>
        <w:numPr>
          <w:ilvl w:val="0"/>
          <w:numId w:val="5"/>
        </w:numPr>
      </w:pPr>
      <w:r>
        <w:rPr/>
        <w:t xml:space="preserve">Survey</w:t>
      </w:r>
    </w:p>
    <w:p>
      <w:pPr>
        <w:numPr>
          <w:ilvl w:val="0"/>
          <w:numId w:val="5"/>
        </w:numPr>
      </w:pPr>
      <w:r>
        <w:rPr/>
        <w:t xml:space="preserve">Secondary analysis</w:t>
      </w:r>
    </w:p>
    <w:p>
      <w:pPr>
        <w:numPr>
          <w:ilvl w:val="0"/>
          <w:numId w:val="5"/>
        </w:numPr>
      </w:pPr>
      <w:r>
        <w:rPr/>
        <w:t xml:space="preserve">Ethnography / participant observation</w:t>
      </w:r>
    </w:p>
    <w:p>
      <w:pPr>
        <w:pStyle w:val="Heading2"/>
      </w:pPr>
      <w:bookmarkStart w:id="7" w:name="_Toc9"/>
      <w:r>
        <w:t>Researched Groups</w:t>
      </w:r>
      <w:bookmarkEnd w:id="7"/>
    </w:p>
    <w:p>
      <w:pPr>
        <w:pStyle w:val="Heading2"/>
      </w:pPr>
      <w:bookmarkStart w:id="8" w:name="_Toc10"/>
      <w:r>
        <w:t>Children Ages</w:t>
      </w:r>
      <w:bookmarkEnd w:id="8"/>
    </w:p>
    <w:p>
      <w:pPr/>
      <w:r>
        <w:rPr/>
        <w:t xml:space="preserve">Adolescents (14-18 Years old)</w:t>
      </w:r>
    </w:p>
    <w:p>
      <w:pPr>
        <w:pStyle w:val="Heading2"/>
      </w:pPr>
      <w:bookmarkStart w:id="9" w:name="_Toc11"/>
      <w:r>
        <w:t>Informed Consent</w:t>
      </w:r>
      <w:bookmarkEnd w:id="9"/>
    </w:p>
    <w:p>
      <w:pPr/>
      <w:r>
        <w:rPr/>
        <w:t xml:space="preserve">No consent needed</w:t>
      </w:r>
    </w:p>
    <w:p>
      <w:pPr>
        <w:pStyle w:val="Heading2"/>
      </w:pPr>
      <w:bookmarkStart w:id="10" w:name="_Toc12"/>
      <w:r>
        <w:t>Ethics</w:t>
      </w:r>
      <w:bookmarkEnd w:id="10"/>
    </w:p>
    <w:p>
      <w:pPr/>
      <w:r>
        <w:rPr/>
        <w:t xml:space="preserve">Ethical considerations not mentioned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To study technologically mediated communication of teachers and students in a virtual environment through the prism of rhetoric. The object - a class of students who are taught through mixed training in Edmodo - was initially observed in a virtual environment, and аfter that a special program for blended learning in virtual rhetoric, in order to form and develop both basic skills in rhetoric and digital skills, is developed. The subject of research covers pedagogical rhetorical act and communication between teacher and students, on the one hand, and the interaction between students and teachers with the Edmodo platform itself, on the other hand. The hypothesis that is formulated is, that virtual pedagogical rhetoric plays essential role in conducting the modern online learning, as the learning process combines established rhetorical traditions and principles from pedagogy with modern models and methods. This combination is the basis for the preparation of the teacher in school in the implementation of the effective pedagogical communication and interaction in the virtual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FD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2025-10-15T14:20:21+00:00</dcterms:created>
  <dcterms:modified xsi:type="dcterms:W3CDTF">2025-10-15T14:20:21+00:00</dcterms:modified>
</cp:coreProperties>
</file>

<file path=docProps/custom.xml><?xml version="1.0" encoding="utf-8"?>
<Properties xmlns="http://schemas.openxmlformats.org/officeDocument/2006/custom-properties" xmlns:vt="http://schemas.openxmlformats.org/officeDocument/2006/docPropsVTypes"/>
</file>