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E-inteligencia: Riesgos y oportunidades de las competencias emocionales expresadas en la red / PSI2015-64114-R</w:t></w:r></w:p><w:p><w:pPr><w:pStyle w:val="Title"/></w:pPr><w:r><w:t>Engl. transl.: E-intelligence: Risks and opportunities of emotional competences expressed on the web / PSI2015-64114-R</w:t></w:r></w:p><w:p><w:pPr><w:pStyle w:val="Heading1"/></w:pPr><w:bookmarkStart w:id="1" w:name="_Toc3"/><w:r><w:t>Details</w:t></w:r><w:bookmarkEnd w:id="1"/></w:p><w:p><w:pPr><w:pStyle w:val="Heading2"/></w:pPr><w:bookmarkStart w:id="2" w:name="_Toc4"/><w:r><w:t>Year</w:t></w:r><w:bookmarkEnd w:id="2"/></w:p><w:p><w:pPr/><w:r><w:rPr/><w:t xml:space="preserve">Not reported</w:t></w:r></w:p><w:p><w:pPr><w:pStyle w:val="Heading2"/></w:pPr><w:bookmarkStart w:id="3" w:name="_Toc5"/><w:r><w:t>Scope</w:t></w:r><w:bookmarkEnd w:id="3"/></w:p><w:p><w:pPr/><w:r><w:rPr/><w:t xml:space="preserve">Local</w:t></w:r></w:p><w:p><w:pPr><w:pStyle w:val="Heading2"/></w:pPr><w:bookmarkStart w:id="4" w:name="_Toc6"/><w:r><w:t>Countries</w:t></w:r><w:bookmarkEnd w:id="4"/></w:p><w:p><w:pPr/><w:r><w:rPr/><w:t xml:space="preserve">Spain</w:t></w:r></w:p><w:p><w:pPr><w:pStyle w:val="Heading2"/></w:pPr><w:bookmarkStart w:id="5" w:name="_Toc7"/><w:r><w:t>Type</w:t></w:r><w:bookmarkEnd w:id="5"/></w:p><w:p><w:pPr/><w:r><w:rPr/><w:t xml:space="preserve">Empirical research – Quantitative</w:t></w:r></w:p><w:p><w:pPr><w:pStyle w:val="Heading2"/></w:pPr><w:bookmarkStart w:id="6" w:name="_Toc8"/><w:r><w:t>Methodologies</w:t></w:r><w:bookmarkEnd w:id="6"/></w:p><w:p><w:pPr/><w:r><w:rPr/><w:t xml:space="preserve">Survey</w:t></w:r></w:p><w:p><w:pPr><w:pStyle w:val="Heading2"/></w:pPr><w:bookmarkStart w:id="7" w:name="_Toc9"/><w:r><w:t>Researched Groups</w:t></w:r><w:bookmarkEnd w:id="7"/></w:p><w:p><w:pPr><w:pStyle w:val="Heading2"/></w:pPr><w:bookmarkStart w:id="8" w:name="_Toc10"/><w:r><w:t>Children Ages</w:t></w:r><w:bookmarkEnd w:id="8"/></w:p><w:p><w:pPr/><w:r><w:rPr/><w:t xml:space="preserve">Other</w:t></w:r></w:p><w:p><w:pPr><w:pStyle w:val="Heading2"/></w:pPr><w:bookmarkStart w:id="9" w:name="_Toc11"/><w:r><w:t>Other Childrens Age Group</w:t></w:r><w:bookmarkEnd w:id="9"/></w:p><w:p><w:pPr/><w:r><w:rPr/><w:t xml:space="preserve">Age not specified, but Primary and Secondary education students</w:t></w:r></w:p><w:p><w:pPr><w:pStyle w:val="Heading2"/></w:pPr><w:bookmarkStart w:id="10" w:name="_Toc12"/><w:r><w:t>Funder</w:t></w:r><w:bookmarkEnd w:id="10"/></w:p><w:p><w:pPr/><w:r><w:rPr/><w:t xml:space="preserve">Ministerio de Economía y Competitividad & European Research Council</w:t></w:r></w:p><w:p><w:pPr><w:pStyle w:val="Heading2"/></w:pPr><w:bookmarkStart w:id="11" w:name="_Toc13"/><w:r><w:t>Funder Types</w:t></w:r><w:bookmarkEnd w:id="11"/></w:p><w:p><w:pPr><w:pStyle w:val="Heading2"/></w:pPr><w:bookmarkStart w:id="12" w:name="_Toc14"/><w:r><w:t>Has Formal Ethical Clearance</w:t></w:r><w:bookmarkEnd w:id="12"/></w:p><w:p><w:pPr><w:pStyle w:val="Heading2"/></w:pPr><w:bookmarkStart w:id="13" w:name="_Toc15"/><w:r><w:t>Consents</w:t></w:r><w:bookmarkEnd w:id="13"/></w:p><w:p><w:pPr><w:numPr><w:ilvl w:val="0"/><w:numId w:val="5"/></w:numPr></w:pPr><w:r><w:rPr/><w:t xml:space="preserve">Consent obtained from parents</w:t></w:r></w:p><w:p><w:pPr><w:numPr><w:ilvl w:val="0"/><w:numId w:val="5"/></w:numPr></w:pPr><w:r><w:rPr/><w:t xml:space="preserve">Consent obtained from children</w:t></w:r></w:p><w:p><w:pPr><w:numPr><w:ilvl w:val="0"/><w:numId w:val="5"/></w:numPr></w:pPr><w:r><w:rPr/><w:t xml:space="preserve">Consent obtained from school officials / principal</w:t></w:r></w:p><w:p><w:pPr><w:pStyle w:val="Heading2"/></w:pPr><w:bookmarkStart w:id="14" w:name="_Toc16"/><w:r><w:t>Informed Consent</w:t></w:r><w:bookmarkEnd w:id="14"/></w:p><w:p><w:pPr/><w:r><w:rPr/><w:t xml:space="preserve">Consent obtained</w:t></w:r></w:p><w:p><w:pPr><w:pStyle w:val="Heading2"/></w:pPr><w:bookmarkStart w:id="15" w:name="_Toc17"/><w:r><w:t>Ethics</w:t></w:r><w:bookmarkEnd w:id="15"/></w:p><w:p><w:pPr/><w:r><w:rPr/><w:t xml:space="preserve">Ethical considerations and/or protocol mentioned in the research design</w:t></w:r></w:p><w:p><w:pPr><w:pStyle w:val="Heading2"/></w:pPr><w:bookmarkStart w:id="16" w:name="_Toc18"/><w:r><w:t>URL</w:t></w:r><w:bookmarkEnd w:id="16"/></w:p><w:p><w:pPr/><w:r><w:rPr/><w:t xml:space="preserve">https://grupotecnologiaeducativa.es/grupocordoba/proyectos-de-investigacion</w:t></w:r></w:p><w:p><w:pPr><w:pStyle w:val="Heading2"/></w:pPr><w:bookmarkStart w:id="17" w:name="_Toc19"/><w:r><w:t>Data Set Availability</w:t></w:r><w:bookmarkEnd w:id="17"/></w:p><w:p><w:pPr/><w:r><w:rPr/><w:t xml:space="preserve">Not mentioned</w:t></w:r></w:p><w:p><w:pPr><w:pStyle w:val="Heading1"/></w:pPr><w:bookmarkStart w:id="18" w:name="_Toc20"/><w:r><w:t>Goals</w:t></w:r><w:bookmarkEnd w:id="18"/></w:p><w:p><w:pPr/><w:r><w:rPr/><w:t xml:space="preserve">Study on socio-emotional competences and relationships among ESO students in person and online, taking into account different socio-demographic factors, such as cultural diversity.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3BF7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2025-10-28T05:26:03+00:00</dcterms:created>
  <dcterms:modified xsi:type="dcterms:W3CDTF">2025-10-28T05:26:03+00:00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