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Uso problemático de internet y consumo problemático de alcohol: un estudio longitudinal entre adolescentes</w:t>
      </w:r>
    </w:p>
    <w:p>
      <w:pPr>
        <w:pStyle w:val="Title"/>
      </w:pPr>
      <w:r>
        <w:t>Engl. transl.: Problematic Internet use and problematic alcohol use: A longitudinal study among adolescents</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Ministerio de Economía y Competitividad (MEC; Spanish Government) grant PSI2012-31550.</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This study examines comprehensively the longitudinal
relationship between the components of PIU and problematic alcohol
use. Specifically, the occurrence of negative consequences of PIU predicted
an increase in problematic alcohol use. Thus, when the adolescent
experiences personal, social, academic, or work problems as a
consequence of his or her dysfunctional use of the Internet, the problematic
use of alcohol increases.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2025-10-16T22:51:39+00:00</dcterms:created>
  <dcterms:modified xsi:type="dcterms:W3CDTF">2025-10-16T22:51:39+00:00</dcterms:modified>
</cp:coreProperties>
</file>

<file path=docProps/custom.xml><?xml version="1.0" encoding="utf-8"?>
<Properties xmlns="http://schemas.openxmlformats.org/officeDocument/2006/custom-properties" xmlns:vt="http://schemas.openxmlformats.org/officeDocument/2006/docPropsVTypes"/>
</file>