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Vom User-Generated-Content zum User-Generated-Copyright</w:t>
      </w:r>
    </w:p>
    <w:p>
      <w:pPr>
        <w:pStyle w:val="Title"/>
      </w:pPr>
      <w:r>
        <w:t>Engl. transl.: From "User-Generated-Content" to a "User-Generated-Copyright"</w:t>
      </w:r>
    </w:p>
    <w:p>
      <w:pPr>
        <w:pStyle w:val="Heading1"/>
      </w:pPr>
      <w:bookmarkStart w:id="1" w:name="_Toc3"/>
      <w:r>
        <w:t>Details</w:t>
      </w:r>
      <w:bookmarkEnd w:id="1"/>
    </w:p>
    <w:p>
      <w:pPr>
        <w:pStyle w:val="Heading2"/>
      </w:pPr>
      <w:bookmarkStart w:id="2" w:name="_Toc4"/>
      <w:r>
        <w:t>Year</w:t>
      </w:r>
      <w:bookmarkEnd w:id="2"/>
    </w:p>
    <w:p>
      <w:pPr/>
      <w:r>
        <w:rPr/>
        <w:t xml:space="preserve">2017</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Case study</w:t>
      </w:r>
    </w:p>
    <w:p>
      <w:pPr>
        <w:numPr>
          <w:ilvl w:val="0"/>
          <w:numId w:val="5"/>
        </w:numPr>
      </w:pPr>
      <w:r>
        <w:rPr/>
        <w:t xml:space="preserve">Textual / documentary / content analysis</w:t>
      </w:r>
    </w:p>
    <w:p>
      <w:pPr>
        <w:numPr>
          <w:ilvl w:val="0"/>
          <w:numId w:val="5"/>
        </w:numPr>
      </w:pPr>
      <w:r>
        <w:rPr/>
        <w:t xml:space="preserve">Participatory</w:t>
      </w:r>
    </w:p>
    <w:p>
      <w:pPr>
        <w:numPr>
          <w:ilvl w:val="0"/>
          <w:numId w:val="5"/>
        </w:numPr>
      </w:pPr>
      <w:r>
        <w:rPr/>
        <w:t xml:space="preserve">Secondary analysis</w:t>
      </w:r>
    </w:p>
    <w:p>
      <w:pPr>
        <w:numPr>
          <w:ilvl w:val="0"/>
          <w:numId w:val="5"/>
        </w:numPr>
      </w:pPr>
      <w:r>
        <w:rPr/>
        <w:t xml:space="preserve">Other</w:t>
      </w:r>
    </w:p>
    <w:p>
      <w:pPr>
        <w:pStyle w:val="Heading2"/>
      </w:pPr>
      <w:bookmarkStart w:id="7" w:name="_Toc9"/>
      <w:r>
        <w:t>Other Methodology</w:t>
      </w:r>
      <w:bookmarkEnd w:id="7"/>
    </w:p>
    <w:p>
      <w:pPr/>
      <w:r>
        <w:rPr/>
        <w:t xml:space="preserve">Junior research project, for pupils - by pupils</w:t>
      </w:r>
    </w:p>
    <w:p>
      <w:pPr>
        <w:pStyle w:val="Heading2"/>
      </w:pPr>
      <w:bookmarkStart w:id="8" w:name="_Toc10"/>
      <w:r>
        <w:t>Researched Groups</w:t>
      </w:r>
      <w:bookmarkEnd w:id="8"/>
    </w:p>
    <w:p>
      <w:pPr/>
      <w:r>
        <w:rPr/>
        <w:t xml:space="preserve">Children</w:t>
      </w:r>
    </w:p>
    <w:p>
      <w:pPr>
        <w:pStyle w:val="Heading2"/>
      </w:pPr>
      <w:bookmarkStart w:id="9" w:name="_Toc11"/>
      <w:r>
        <w:t>Children Ages</w:t>
      </w:r>
      <w:bookmarkEnd w:id="9"/>
    </w:p>
    <w:p>
      <w:pPr/>
      <w:r>
        <w:rPr/>
        <w:t xml:space="preserve">Adolescents (14-18 Years old)</w:t>
      </w:r>
    </w:p>
    <w:p>
      <w:pPr>
        <w:pStyle w:val="Heading2"/>
      </w:pPr>
      <w:bookmarkStart w:id="10" w:name="_Toc12"/>
      <w:r>
        <w:t>Funder</w:t>
      </w:r>
      <w:bookmarkEnd w:id="10"/>
    </w:p>
    <w:p>
      <w:pPr/>
      <w:r>
        <w:rPr/>
        <w:t xml:space="preserve">Bundesministerium für Wissenschaft, Forschung und Wirtschaft</w:t>
      </w:r>
    </w:p>
    <w:p>
      <w:pPr>
        <w:pStyle w:val="Heading2"/>
      </w:pPr>
      <w:bookmarkStart w:id="11" w:name="_Toc13"/>
      <w:r>
        <w:t>Funder Types</w:t>
      </w:r>
      <w:bookmarkEnd w:id="11"/>
    </w:p>
    <w:p>
      <w:pPr/>
      <w:r>
        <w:rPr/>
        <w:t xml:space="preserve">National Government / Ministry</w:t>
      </w:r>
    </w:p>
    <w:p>
      <w:pPr>
        <w:pStyle w:val="Heading2"/>
      </w:pPr>
      <w:bookmarkStart w:id="12" w:name="_Toc14"/>
      <w:r>
        <w:t>Informed Consent</w:t>
      </w:r>
      <w:bookmarkEnd w:id="12"/>
    </w:p>
    <w:p>
      <w:pPr/>
      <w:r>
        <w:rPr/>
        <w:t xml:space="preserve">Consent not mentioned</w:t>
      </w:r>
    </w:p>
    <w:p>
      <w:pPr>
        <w:pStyle w:val="Heading2"/>
      </w:pPr>
      <w:bookmarkStart w:id="13" w:name="_Toc15"/>
      <w:r>
        <w:t>Ethics</w:t>
      </w:r>
      <w:bookmarkEnd w:id="13"/>
    </w:p>
    <w:p>
      <w:pPr/>
      <w:r>
        <w:rPr/>
        <w:t xml:space="preserve">Ethical issues flagged in the paper</w:t>
      </w:r>
    </w:p>
    <w:p>
      <w:pPr>
        <w:pStyle w:val="Heading2"/>
      </w:pPr>
      <w:bookmarkStart w:id="14" w:name="_Toc16"/>
      <w:r>
        <w:t>URL</w:t>
      </w:r>
      <w:bookmarkEnd w:id="14"/>
    </w:p>
    <w:p>
      <w:pPr/>
      <w:r>
        <w:rPr/>
        <w:t xml:space="preserve">https://www.u-g-c.at/</w:t>
      </w:r>
    </w:p>
    <w:p>
      <w:pPr>
        <w:pStyle w:val="Heading2"/>
      </w:pPr>
      <w:bookmarkStart w:id="15" w:name="_Toc17"/>
      <w:r>
        <w:t>Data Set Availability</w:t>
      </w:r>
      <w:bookmarkEnd w:id="15"/>
    </w:p>
    <w:p>
      <w:pPr/>
      <w:r>
        <w:rPr/>
        <w:t xml:space="preserve">Data availability statement in the publication</w:t>
      </w:r>
    </w:p>
    <w:p>
      <w:pPr>
        <w:pStyle w:val="Heading1"/>
      </w:pPr>
      <w:bookmarkStart w:id="16" w:name="_Toc18"/>
      <w:r>
        <w:t>Goals</w:t>
      </w:r>
      <w:bookmarkEnd w:id="16"/>
    </w:p>
    <w:p>
      <w:pPr/>
      <w:r>
        <w:rPr/>
        <w:t xml:space="preserve">"During the last decade the ways of distributing und consuming copyrighted creations have changed radically. In the light of an emerging “digital economy”, which is especially fostered by a wide availability of broadband-technologies, cloud-computing services and changed user habits, the traditional concept of copyright is subject to a broad public debate.
It becomes more and more common to distribute digital copies of works not only on physical media, but also via online accessible platforms. Nowadays users “buy” and more often “consume” digital goods online. From a legal, economic and social perspective, this paradigm-shift rigorously challenges the classical copyright doctrine, which follows an “analogue-world”-approach. Thus, this research project aims to provide a definition of relevant prerequisites for a modern, well-balanced copyright system based on a broad social consensus." (Sparkling Science, 2017, online)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F29FA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2024-05-20T20:44:21+00:00</dcterms:created>
  <dcterms:modified xsi:type="dcterms:W3CDTF">2024-05-20T20:44:21+00:00</dcterms:modified>
</cp:coreProperties>
</file>

<file path=docProps/custom.xml><?xml version="1.0" encoding="utf-8"?>
<Properties xmlns="http://schemas.openxmlformats.org/officeDocument/2006/custom-properties" xmlns:vt="http://schemas.openxmlformats.org/officeDocument/2006/docPropsVTypes"/>
</file>