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“Adicciones y tecnologías”-H1477087324886 .</w:t>
      </w:r>
    </w:p>
    <w:p>
      <w:pPr>
        <w:pStyle w:val="Title"/>
      </w:pPr>
      <w:r>
        <w:t>Engl. transl.: "Adictions and Technologies"-H1477087324886.</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15-19 years old</w:t>
      </w:r>
    </w:p>
    <w:p>
      <w:pPr>
        <w:pStyle w:val="Heading2"/>
      </w:pPr>
      <w:bookmarkStart w:id="10" w:name="_Toc12"/>
      <w:r>
        <w:t>Funder</w:t>
      </w:r>
      <w:bookmarkEnd w:id="10"/>
    </w:p>
    <w:p>
      <w:pPr/>
      <w:r>
        <w:rPr/>
        <w:t xml:space="preserve">Fundación Mapfre  Fundación Mapfre: Sexta Convocatoria de Ayudas a la Investigación, 2016.</w:t>
      </w:r>
    </w:p>
    <w:p>
      <w:pPr>
        <w:pStyle w:val="Heading2"/>
      </w:pPr>
      <w:bookmarkStart w:id="11" w:name="_Toc13"/>
      <w:r>
        <w:t>Funder Types</w:t>
      </w:r>
      <w:bookmarkEnd w:id="11"/>
    </w:p>
    <w:p>
      <w:pPr/>
      <w:r>
        <w:rPr/>
        <w:t xml:space="preserve">Private industry / Company</w:t>
      </w:r>
    </w:p>
    <w:p>
      <w:pPr>
        <w:pStyle w:val="Heading2"/>
      </w:pPr>
      <w:bookmarkStart w:id="12" w:name="_Toc14"/>
      <w:r>
        <w:t>Has Formal Ethical Clearance</w:t>
      </w:r>
      <w:bookmarkEnd w:id="12"/>
    </w:p>
    <w:p>
      <w:pPr>
        <w:pStyle w:val="Heading2"/>
      </w:pPr>
      <w:bookmarkStart w:id="13" w:name="_Toc15"/>
      <w:r>
        <w:t>Informed Consent</w:t>
      </w:r>
      <w:bookmarkEnd w:id="13"/>
    </w:p>
    <w:p>
      <w:pPr/>
      <w:r>
        <w:rPr/>
        <w:t xml:space="preserve">Consent not mentioned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study of the pattern of play in adolescence and adolescence and the problems associated with gambling disorder and risky gambling, taking into account the types of gambling, as well as and the sex and age of the adolescents.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2025-10-17T07:14:59+00:00</dcterms:created>
  <dcterms:modified xsi:type="dcterms:W3CDTF">2025-10-17T07:14:59+00:00</dcterms:modified>
</cp:coreProperties>
</file>

<file path=docProps/custom.xml><?xml version="1.0" encoding="utf-8"?>
<Properties xmlns="http://schemas.openxmlformats.org/officeDocument/2006/custom-properties" xmlns:vt="http://schemas.openxmlformats.org/officeDocument/2006/docPropsVTypes"/>
</file>