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Überblick über die österreichische Jugendforschung im Bereich Jugend und Medien</w:t>
      </w:r>
    </w:p>
    <w:p>
      <w:pPr>
        <w:pStyle w:val="Title"/>
      </w:pPr>
      <w:r>
        <w:t>Engl. transl.: Overview of Austrian youth research in the field of youth and media</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Systematic review / Meta-analysis</w:t>
      </w:r>
    </w:p>
    <w:p>
      <w:pPr>
        <w:pStyle w:val="Heading2"/>
      </w:pPr>
      <w:bookmarkStart w:id="6" w:name="_Toc8"/>
      <w:r>
        <w:t>Methodologies</w:t>
      </w:r>
      <w:bookmarkEnd w:id="6"/>
    </w:p>
    <w:p>
      <w:pPr>
        <w:numPr>
          <w:ilvl w:val="0"/>
          <w:numId w:val="5"/>
        </w:numPr>
      </w:pPr>
      <w:r>
        <w:rPr/>
        <w:t xml:space="preserve">Textual / documentary / content analysis</w:t>
      </w:r>
    </w:p>
    <w:p>
      <w:pPr>
        <w:numPr>
          <w:ilvl w:val="0"/>
          <w:numId w:val="5"/>
        </w:numPr>
      </w:pPr>
      <w:r>
        <w:rPr/>
        <w:t xml:space="preserve">Secondary analysis</w:t>
      </w:r>
    </w:p>
    <w:p>
      <w:pPr>
        <w:numPr>
          <w:ilvl w:val="0"/>
          <w:numId w:val="5"/>
        </w:numPr>
      </w:pPr>
      <w:r>
        <w:rPr/>
        <w:t xml:space="preserve">Evidence map</w:t>
      </w:r>
    </w:p>
    <w:p>
      <w:pPr>
        <w:numPr>
          <w:ilvl w:val="0"/>
          <w:numId w:val="5"/>
        </w:numPr>
      </w:pPr>
      <w:r>
        <w:rPr/>
        <w:t xml:space="preserve">Interview</w:t>
      </w:r>
    </w:p>
    <w:p>
      <w:pPr>
        <w:numPr>
          <w:ilvl w:val="0"/>
          <w:numId w:val="5"/>
        </w:numPr>
      </w:pPr>
      <w:r>
        <w:rPr/>
        <w:t xml:space="preserve">Other</w:t>
      </w:r>
    </w:p>
    <w:p>
      <w:pPr>
        <w:pStyle w:val="Heading2"/>
      </w:pPr>
      <w:bookmarkStart w:id="7" w:name="_Toc9"/>
      <w:r>
        <w:t>Other Methodology</w:t>
      </w:r>
      <w:bookmarkEnd w:id="7"/>
    </w:p>
    <w:p>
      <w:pPr/>
      <w:r>
        <w:rPr/>
        <w:t xml:space="preserve">Data collection via peer-interviews</w:t>
      </w:r>
    </w:p>
    <w:p>
      <w:pPr>
        <w:pStyle w:val="Heading2"/>
      </w:pPr>
      <w:bookmarkStart w:id="8" w:name="_Toc10"/>
      <w:r>
        <w:t>Researched Groups</w:t>
      </w:r>
      <w:bookmarkEnd w:id="8"/>
    </w:p>
    <w:p>
      <w:pPr>
        <w:numPr>
          <w:ilvl w:val="0"/>
          <w:numId w:val="5"/>
        </w:numPr>
      </w:pPr>
      <w:r>
        <w:rPr/>
        <w:t xml:space="preserve">Children</w:t>
      </w:r>
    </w:p>
    <w:p>
      <w:pPr>
        <w:numPr>
          <w:ilvl w:val="0"/>
          <w:numId w:val="5"/>
        </w:numPr>
      </w:pPr>
      <w:r>
        <w:rPr/>
        <w:t xml:space="preserve">Other practitioners working with children</w:t>
      </w:r>
    </w:p>
    <w:p>
      <w:pPr>
        <w:numPr>
          <w:ilvl w:val="0"/>
          <w:numId w:val="5"/>
        </w:numPr>
      </w:pPr>
      <w:r>
        <w:rPr/>
        <w:t xml:space="preserve">Other</w:t>
      </w:r>
    </w:p>
    <w:p>
      <w:pPr>
        <w:pStyle w:val="Heading2"/>
      </w:pPr>
      <w:bookmarkStart w:id="9" w:name="_Toc11"/>
      <w:r>
        <w:t>Other Researched Group</w:t>
      </w:r>
      <w:bookmarkEnd w:id="9"/>
    </w:p>
    <w:p>
      <w:pPr/>
      <w:r>
        <w:rPr/>
        <w:t xml:space="preserve">Researcher</w:t>
      </w:r>
    </w:p>
    <w:p>
      <w:pPr>
        <w:pStyle w:val="Heading2"/>
      </w:pPr>
      <w:bookmarkStart w:id="10" w:name="_Toc12"/>
      <w:r>
        <w:t>Children Ages</w:t>
      </w:r>
      <w:bookmarkEnd w:id="10"/>
    </w:p>
    <w:p>
      <w:pPr>
        <w:numPr>
          <w:ilvl w:val="0"/>
          <w:numId w:val="5"/>
        </w:numPr>
      </w:pPr>
      <w:r>
        <w:rPr/>
        <w:t xml:space="preserve">All (0-18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11" w:name="_Toc13"/>
      <w:r>
        <w:t>Other Childrens Age Group</w:t>
      </w:r>
      <w:bookmarkEnd w:id="11"/>
    </w:p>
    <w:p>
      <w:pPr/>
      <w:r>
        <w:rPr/>
        <w:t xml:space="preserve">Young adults 25+</w:t>
      </w:r>
    </w:p>
    <w:p>
      <w:pPr>
        <w:pStyle w:val="Heading2"/>
      </w:pPr>
      <w:bookmarkStart w:id="12" w:name="_Toc14"/>
      <w:r>
        <w:t>Funder</w:t>
      </w:r>
      <w:bookmarkEnd w:id="12"/>
    </w:p>
    <w:p>
      <w:pPr/>
      <w:r>
        <w:rPr/>
        <w:t xml:space="preserve">University of Innsbruck</w:t>
      </w:r>
    </w:p>
    <w:p>
      <w:pPr>
        <w:pStyle w:val="Heading2"/>
      </w:pPr>
      <w:bookmarkStart w:id="13" w:name="_Toc15"/>
      <w:r>
        <w:t>Funder Types</w:t>
      </w:r>
      <w:bookmarkEnd w:id="13"/>
    </w:p>
    <w:p>
      <w:pPr/>
      <w:r>
        <w:rPr/>
        <w:t xml:space="preserve">University</w:t>
      </w:r>
    </w:p>
    <w:p>
      <w:pPr>
        <w:pStyle w:val="Heading2"/>
      </w:pPr>
      <w:bookmarkStart w:id="14" w:name="_Toc16"/>
      <w:r>
        <w:t>Informed Consent</w:t>
      </w:r>
      <w:bookmarkEnd w:id="14"/>
    </w:p>
    <w:p>
      <w:pPr/>
      <w:r>
        <w:rPr/>
        <w:t xml:space="preserve">No consent needed</w:t>
      </w:r>
    </w:p>
    <w:p>
      <w:pPr>
        <w:pStyle w:val="Heading2"/>
      </w:pPr>
      <w:bookmarkStart w:id="15" w:name="_Toc17"/>
      <w:r>
        <w:t>URL</w:t>
      </w:r>
      <w:bookmarkEnd w:id="15"/>
    </w:p>
    <w:p>
      <w:pPr/>
      <w:r>
        <w:rPr/>
        <w:t xml:space="preserve">https://www.uibk.ac.at/bgl/arbeitsgruppen/jugendforschung.html</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"After the industrial revolution, it is now the digital revolution that is permanently changing people's lives. Technological and media developments are leading to upheavals that are creating new challenges for individuals and society. In these transformation processes, special attention must be paid to the sensitive life phase of youth. It is a time of upheaval, of education and training, of transition from school to work and of increasing autonomy. Young people in this phase of life are particularly susceptible to the influences of new media. Media are a natural part of their everyday life. Youth and media research is therefore becoming increasingly important. Against this background, this paper aims to give a systematic overview of Austrian youth research in the field of "youth and media" over the last eleven years. The aim is to lay a foundation for future research projects." (Fleischer/Berger, 2020,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3A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2025-11-05T23:18:06+00:00</dcterms:created>
  <dcterms:modified xsi:type="dcterms:W3CDTF">2025-11-05T23:18:06+00:00</dcterms:modified>
</cp:coreProperties>
</file>

<file path=docProps/custom.xml><?xml version="1.0" encoding="utf-8"?>
<Properties xmlns="http://schemas.openxmlformats.org/officeDocument/2006/custom-properties" xmlns:vt="http://schemas.openxmlformats.org/officeDocument/2006/docPropsVTypes"/>
</file>