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Überblick über die österreichische Jugendforschung im Bereich des Übergangs in weiterführende schulische und berufliche Ausbildungen und in die Erwerbstätigkeit im jungen Erwachsenenalter. Eine Zusammenschau der Studien von 2009 bis 2019.</w:t>
      </w:r>
    </w:p>
    <w:p>
      <w:pPr>
        <w:pStyle w:val="Title"/>
      </w:pPr>
      <w:r>
        <w:t>Engl. transl.: Overview of Austrian youth research in the area of transition to further schooling and vocational training and to employment in young adulthood. A synopsis of studies from 2009 to 2019.</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numPr>
          <w:ilvl w:val="0"/>
          <w:numId w:val="5"/>
        </w:numPr>
      </w:pPr>
      <w:r>
        <w:rPr/>
        <w:t xml:space="preserve">Textual / documentary / content analysis</w:t>
      </w:r>
    </w:p>
    <w:p>
      <w:pPr>
        <w:numPr>
          <w:ilvl w:val="0"/>
          <w:numId w:val="5"/>
        </w:numPr>
      </w:pPr>
      <w:r>
        <w:rPr/>
        <w:t xml:space="preserve">Secondary analysis</w:t>
      </w:r>
    </w:p>
    <w:p>
      <w:pPr>
        <w:numPr>
          <w:ilvl w:val="0"/>
          <w:numId w:val="5"/>
        </w:numPr>
      </w:pPr>
      <w:r>
        <w:rPr/>
        <w:t xml:space="preserve">Evidence map</w:t>
      </w:r>
    </w:p>
    <w:p>
      <w:pPr>
        <w:numPr>
          <w:ilvl w:val="0"/>
          <w:numId w:val="5"/>
        </w:numPr>
      </w:pPr>
      <w:r>
        <w:rPr/>
        <w:t xml:space="preserve">Other</w:t>
      </w:r>
    </w:p>
    <w:p>
      <w:pPr>
        <w:pStyle w:val="Heading2"/>
      </w:pPr>
      <w:bookmarkStart w:id="7" w:name="_Toc9"/>
      <w:r>
        <w:t>Other Methodology</w:t>
      </w:r>
      <w:bookmarkEnd w:id="7"/>
    </w:p>
    <w:p>
      <w:pPr/>
      <w:r>
        <w:rPr/>
        <w:t xml:space="preserve">Data collection via peer-interviews</w:t>
      </w:r>
    </w:p>
    <w:p>
      <w:pPr>
        <w:pStyle w:val="Heading2"/>
      </w:pPr>
      <w:bookmarkStart w:id="8" w:name="_Toc10"/>
      <w:r>
        <w:t>Researched Groups</w:t>
      </w:r>
      <w:bookmarkEnd w:id="8"/>
    </w:p>
    <w:p>
      <w:pPr>
        <w:pStyle w:val="Heading2"/>
      </w:pPr>
      <w:bookmarkStart w:id="9" w:name="_Toc11"/>
      <w:r>
        <w:t>Other Researched Group</w:t>
      </w:r>
      <w:bookmarkEnd w:id="9"/>
    </w:p>
    <w:p>
      <w:pPr/>
      <w:r>
        <w:rPr/>
        <w:t xml:space="preserve">Researcher</w:t>
      </w:r>
    </w:p>
    <w:p>
      <w:pPr>
        <w:pStyle w:val="Heading2"/>
      </w:pPr>
      <w:bookmarkStart w:id="10" w:name="_Toc12"/>
      <w:r>
        <w:t>Children Ages</w:t>
      </w:r>
      <w:bookmarkEnd w:id="10"/>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11" w:name="_Toc13"/>
      <w:r>
        <w:t>Other Childrens Age Group</w:t>
      </w:r>
      <w:bookmarkEnd w:id="11"/>
    </w:p>
    <w:p>
      <w:pPr/>
      <w:r>
        <w:rPr/>
        <w:t xml:space="preserve">Young adults 25+</w:t>
      </w:r>
    </w:p>
    <w:p>
      <w:pPr>
        <w:pStyle w:val="Heading2"/>
      </w:pPr>
      <w:bookmarkStart w:id="12" w:name="_Toc14"/>
      <w:r>
        <w:t>Funder</w:t>
      </w:r>
      <w:bookmarkEnd w:id="12"/>
    </w:p>
    <w:p>
      <w:pPr/>
      <w:r>
        <w:rPr/>
        <w:t xml:space="preserve">University of Innsbruck</w:t>
      </w:r>
    </w:p>
    <w:p>
      <w:pPr>
        <w:pStyle w:val="Heading2"/>
      </w:pPr>
      <w:bookmarkStart w:id="13" w:name="_Toc15"/>
      <w:r>
        <w:t>Funder Types</w:t>
      </w:r>
      <w:bookmarkEnd w:id="13"/>
    </w:p>
    <w:p>
      <w:pPr/>
      <w:r>
        <w:rPr/>
        <w:t xml:space="preserve">University</w:t>
      </w:r>
    </w:p>
    <w:p>
      <w:pPr>
        <w:pStyle w:val="Heading2"/>
      </w:pPr>
      <w:bookmarkStart w:id="14" w:name="_Toc16"/>
      <w:r>
        <w:t>Informed Consent</w:t>
      </w:r>
      <w:bookmarkEnd w:id="14"/>
    </w:p>
    <w:p>
      <w:pPr/>
      <w:r>
        <w:rPr/>
        <w:t xml:space="preserve">No consent needed</w:t>
      </w:r>
    </w:p>
    <w:p>
      <w:pPr>
        <w:pStyle w:val="Heading2"/>
      </w:pPr>
      <w:bookmarkStart w:id="15" w:name="_Toc17"/>
      <w:r>
        <w:t>URL</w:t>
      </w:r>
      <w:bookmarkEnd w:id="15"/>
    </w:p>
    <w:p>
      <w:pPr/>
      <w:r>
        <w:rPr/>
        <w:t xml:space="preserve">https://www.uibk.ac.at/bgl/arbeitsgruppen/jugendforschung.html</w:t>
      </w:r>
    </w:p>
    <w:p>
      <w:pPr>
        <w:pStyle w:val="Heading2"/>
      </w:pPr>
      <w:bookmarkStart w:id="16" w:name="_Toc18"/>
      <w:r>
        <w:t>Data Set Availability</w:t>
      </w:r>
      <w:bookmarkEnd w:id="16"/>
    </w:p>
    <w:p>
      <w:pPr/>
      <w:r>
        <w:rPr/>
        <w:t xml:space="preserve">Data availability statement in the publication</w:t>
      </w:r>
    </w:p>
    <w:p>
      <w:pPr>
        <w:pStyle w:val="Heading1"/>
      </w:pPr>
      <w:bookmarkStart w:id="17" w:name="_Toc19"/>
      <w:r>
        <w:t>Goals</w:t>
      </w:r>
      <w:bookmarkEnd w:id="17"/>
    </w:p>
    <w:p>
      <w:pPr/>
      <w:r>
        <w:rPr/>
        <w:t xml:space="preserve">"The present documentation aims to provide a systematic overview of Austrian youth research of the last ten years in the field of transition to further schooling and vocational education and training and on labour market entry in young adulthood. It is intended to lay a foundation for possible further relevant research projects in Austria.
The documentation contains studies with Austrian relevance that were published from 2009 onwards. Bachelor's and Master's theses were not included." (Frötscher/Berger, 2019, 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344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2025-10-14T13:45:41+00:00</dcterms:created>
  <dcterms:modified xsi:type="dcterms:W3CDTF">2025-10-14T13:45:41+00:00</dcterms:modified>
</cp:coreProperties>
</file>

<file path=docProps/custom.xml><?xml version="1.0" encoding="utf-8"?>
<Properties xmlns="http://schemas.openxmlformats.org/officeDocument/2006/custom-properties" xmlns:vt="http://schemas.openxmlformats.org/officeDocument/2006/docPropsVTypes"/>
</file>