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Gesellschaftspolitik / Jugend: Computer, Smartphone und Fernsehen fressen die Bewegung</w:t>
      </w:r>
    </w:p>
    <w:p>
      <w:pPr>
        <w:pStyle w:val="Title"/>
      </w:pPr>
      <w:r>
        <w:t>Engl. transl.: Social policy / Youth: Computers, smartphones and television prevent physical activity</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Individuals (whole population, children included)</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16+</w:t>
      </w:r>
    </w:p>
    <w:p>
      <w:pPr>
        <w:pStyle w:val="Heading2"/>
      </w:pPr>
      <w:bookmarkStart w:id="10" w:name="_Toc12"/>
      <w:r>
        <w:t>Funder</w:t>
      </w:r>
      <w:bookmarkEnd w:id="10"/>
    </w:p>
    <w:p>
      <w:pPr/>
      <w:r>
        <w:rPr/>
        <w:t xml:space="preserve">Institut für Markt- und Sozialanalysen Ges.m.b.H. - IMAS</w:t>
      </w:r>
    </w:p>
    <w:p>
      <w:pPr>
        <w:pStyle w:val="Heading2"/>
      </w:pPr>
      <w:bookmarkStart w:id="11" w:name="_Toc13"/>
      <w:r>
        <w:t>Funder Types</w:t>
      </w:r>
      <w:bookmarkEnd w:id="11"/>
    </w:p>
    <w:p>
      <w:pPr/>
      <w:r>
        <w:rPr/>
        <w:t xml:space="preserve">Private industry / Company</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http://www.imas.at/index.php/de/</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Do children and young people exercise enough sports?
What are the reasons that children and adolescents do not exercise and do sport enough nowadays?
What would promote exercise among children and young people?
A major reason is the gain in importance of mediated communication and games.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2025-10-14T13:40:53+00:00</dcterms:created>
  <dcterms:modified xsi:type="dcterms:W3CDTF">2025-10-14T13:40:53+00:00</dcterms:modified>
</cp:coreProperties>
</file>

<file path=docProps/custom.xml><?xml version="1.0" encoding="utf-8"?>
<Properties xmlns="http://schemas.openxmlformats.org/officeDocument/2006/custom-properties" xmlns:vt="http://schemas.openxmlformats.org/officeDocument/2006/docPropsVTypes"/>
</file>