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Stress, competence, and parental educational styles in victims and aggressors of bullying and cyberbullying</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9-13 years old</w:t>
      </w:r>
    </w:p>
    <w:p>
      <w:pPr>
        <w:pStyle w:val="Heading2"/>
      </w:pPr>
      <w:bookmarkStart w:id="10" w:name="_Toc11"/>
      <w:r>
        <w:t>Funder</w:t>
      </w:r>
      <w:bookmarkEnd w:id="10"/>
    </w:p>
    <w:p>
      <w:pPr/>
      <w:r>
        <w:rPr/>
        <w:t xml:space="preserve">The study was fi nanced by the Spanish Ministry of Economics and Competitiveness (MINECO) (PSI2012-30956), by the Department of Education of the Basque Government (IT-638-13), and by the University of the Basque Country (PPG17/31).</w:t>
      </w:r>
    </w:p>
    <w:p>
      <w:pPr>
        <w:pStyle w:val="Heading2"/>
      </w:pPr>
      <w:bookmarkStart w:id="11" w:name="_Toc12"/>
      <w:r>
        <w:t>Funder Types</w:t>
      </w:r>
      <w:bookmarkEnd w:id="11"/>
    </w:p>
    <w:p>
      <w:pPr>
        <w:numPr>
          <w:ilvl w:val="0"/>
          <w:numId w:val="5"/>
        </w:numPr>
      </w:pPr>
      <w:r>
        <w:rPr/>
        <w:t xml:space="preserve">University</w:t>
      </w:r>
    </w:p>
    <w:p>
      <w:pPr>
        <w:numPr>
          <w:ilvl w:val="0"/>
          <w:numId w:val="5"/>
        </w:numPr>
      </w:pPr>
      <w:r>
        <w:rPr/>
        <w:t xml:space="preserve">National Government / Ministry</w:t>
      </w:r>
    </w:p>
    <w:p>
      <w:pPr>
        <w:numPr>
          <w:ilvl w:val="0"/>
          <w:numId w:val="5"/>
        </w:numPr>
      </w:pPr>
      <w:r>
        <w:rPr/>
        <w:t xml:space="preserve">Regional Government</w:t>
      </w:r>
    </w:p>
    <w:p>
      <w:pPr>
        <w:pStyle w:val="Heading2"/>
      </w:pPr>
      <w:bookmarkStart w:id="12" w:name="_Toc13"/>
      <w:r>
        <w:t>Has Formal Ethical Clearance</w:t>
      </w:r>
      <w:bookmarkEnd w:id="12"/>
    </w:p>
    <w:p>
      <w:pPr>
        <w:pStyle w:val="Heading2"/>
      </w:pPr>
      <w:bookmarkStart w:id="13" w:name="_Toc14"/>
      <w:r>
        <w:t>Consents</w:t>
      </w:r>
      <w:bookmarkEnd w:id="13"/>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URL</w:t>
      </w:r>
      <w:bookmarkEnd w:id="16"/>
    </w:p>
    <w:p>
      <w:pPr/>
      <w:r>
        <w:rPr/>
        <w:t xml:space="preserve">https://www.researchgate.net/publication/318686564_Stress_competence_and_parental_educational_styles_in_victims_and_aggressors_of_bullying_and_cyberbullying</w:t>
      </w:r>
    </w:p>
    <w:p>
      <w:pPr>
        <w:pStyle w:val="Heading1"/>
      </w:pPr>
      <w:bookmarkStart w:id="17" w:name="_Toc18"/>
      <w:r>
        <w:t>Goals</w:t>
      </w:r>
      <w:bookmarkEnd w:id="17"/>
    </w:p>
    <w:p>
      <w:pPr/>
      <w:r>
        <w:rPr/>
        <w:t xml:space="preserve">The family can be a protective/risk factor for violence. The study analyses differences in family variables (parental stress, parental competence and parenting styles) among severe student victims, aggressors, cybervictims, and cyberaggressors (who have very frequently suffered or carried out bullying/cyberbullying behaviors in the past year) and those who have neither suffered nor carried out any aggressive behavior or only occasionally.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12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2025-10-21T20:18:02+00:00</dcterms:created>
  <dcterms:modified xsi:type="dcterms:W3CDTF">2025-10-21T20:18:02+00:00</dcterms:modified>
</cp:coreProperties>
</file>

<file path=docProps/custom.xml><?xml version="1.0" encoding="utf-8"?>
<Properties xmlns="http://schemas.openxmlformats.org/officeDocument/2006/custom-properties" xmlns:vt="http://schemas.openxmlformats.org/officeDocument/2006/docPropsVTypes"/>
</file>