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Digitale Kompetenzen für eine digitalisierte Lebenswelt</w:t>
      </w:r>
    </w:p>
    <w:p>
      <w:pPr>
        <w:pStyle w:val="Title"/>
      </w:pPr>
      <w:r>
        <w:t>Engl. transl.: Digital competencies for a digitalised living environment</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Focus group</w:t>
      </w:r>
    </w:p>
    <w:p>
      <w:pPr>
        <w:numPr>
          <w:ilvl w:val="0"/>
          <w:numId w:val="5"/>
        </w:numPr>
      </w:pPr>
      <w:r>
        <w:rPr/>
        <w:t xml:space="preserve">Online quantitative methods (e.g. Online survey)</w:t>
      </w:r>
    </w:p>
    <w:p>
      <w:pPr>
        <w:numPr>
          <w:ilvl w:val="0"/>
          <w:numId w:val="5"/>
        </w:numPr>
      </w:pPr>
      <w:r>
        <w:rPr/>
        <w:t xml:space="preserve">Textual / documentary / content analysis</w:t>
      </w:r>
    </w:p>
    <w:p>
      <w:pPr>
        <w:numPr>
          <w:ilvl w:val="0"/>
          <w:numId w:val="5"/>
        </w:numPr>
      </w:pPr>
      <w:r>
        <w:rPr/>
        <w:t xml:space="preserve">Secondary analysis</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Other Childrens Age Group</w:t>
      </w:r>
      <w:bookmarkEnd w:id="9"/>
    </w:p>
    <w:p>
      <w:pPr/>
      <w:r>
        <w:rPr/>
        <w:t xml:space="preserve">Young adults (19 Years old)</w:t>
      </w:r>
    </w:p>
    <w:p>
      <w:pPr>
        <w:pStyle w:val="Heading2"/>
      </w:pPr>
      <w:bookmarkStart w:id="10" w:name="_Toc12"/>
      <w:r>
        <w:t>Funder</w:t>
      </w:r>
      <w:bookmarkEnd w:id="10"/>
    </w:p>
    <w:p>
      <w:pPr/>
      <w:r>
        <w:rPr/>
        <w:t xml:space="preserve">Arbeiterkammer Wien</w:t>
      </w:r>
    </w:p>
    <w:p>
      <w:pPr>
        <w:pStyle w:val="Heading2"/>
      </w:pPr>
      <w:bookmarkStart w:id="11" w:name="_Toc13"/>
      <w:r>
        <w:t>Funder Types</w:t>
      </w:r>
      <w:bookmarkEnd w:id="11"/>
    </w:p>
    <w:p>
      <w:pPr/>
      <w:r>
        <w:rPr/>
        <w:t xml:space="preserve">NGO (Advocacy, Charity, Consumer  organization)</w:t>
      </w:r>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pStyle w:val="Heading2"/>
      </w:pPr>
      <w:bookmarkStart w:id="15" w:name="_Toc17"/>
      <w:r>
        <w:t>URL</w:t>
      </w:r>
      <w:bookmarkEnd w:id="15"/>
    </w:p>
    <w:p>
      <w:pPr/>
      <w:r>
        <w:rPr/>
        <w:t xml:space="preserve">https://wien.arbeiterkammer.at/service/studien/digitalerwandel/Digitale_Kompetenzen_fuer_eine_digitalisierte_Lebenswelt.html</w:t>
      </w:r>
    </w:p>
    <w:p>
      <w:pPr>
        <w:pStyle w:val="Heading2"/>
      </w:pPr>
      <w:bookmarkStart w:id="16" w:name="_Toc18"/>
      <w:r>
        <w:t>Data Set Availability</w:t>
      </w:r>
      <w:bookmarkEnd w:id="16"/>
    </w:p>
    <w:p>
      <w:pPr/>
      <w:r>
        <w:rPr/>
        <w:t xml:space="preserve">Data availability statement in the publication</w:t>
      </w:r>
    </w:p>
    <w:p>
      <w:pPr>
        <w:pStyle w:val="Heading1"/>
      </w:pPr>
      <w:bookmarkStart w:id="17" w:name="_Toc19"/>
      <w:r>
        <w:t>Goals</w:t>
      </w:r>
      <w:bookmarkEnd w:id="17"/>
    </w:p>
    <w:p>
      <w:pPr/>
      <w:r>
        <w:rPr/>
        <w:t xml:space="preserve">"The fact that practically every young person today has access to the internet and uses digital services does not mean that all of these users have the ability to critically receive content from these media, i.e. that they have the necessary digital skills required in this highly complex environment. In addition to age, factors such as milieu affiliation, social situation, etc. are also likely to contribute significantly to the fact that a digital divide is opening up between more and less confident users of these offerings, or that a digital divide is occurring as a result of existing or non-existing competences. 
In an empirical study, the Vienna Chamber of Labour examined the digital competences of young people, in this case the age group of 15 to 19 years. On the one hand, it is about the question of how young people acquire digital competences in a constantly changing field such as digital media. On the other hand, the question is to be answered where a digital divide exists within the young age group or where differences can be found with regard to usage habits and digital competences within this group." (Arbeiterkammer Wien, 2016,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003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2025-10-18T02:01:51+00:00</dcterms:created>
  <dcterms:modified xsi:type="dcterms:W3CDTF">2025-10-18T02:01:51+00:00</dcterms:modified>
</cp:coreProperties>
</file>

<file path=docProps/custom.xml><?xml version="1.0" encoding="utf-8"?>
<Properties xmlns="http://schemas.openxmlformats.org/officeDocument/2006/custom-properties" xmlns:vt="http://schemas.openxmlformats.org/officeDocument/2006/docPropsVTypes"/>
</file>