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WiSK Programm – Förderung sozialer und interkultureller Kompetenzen in Schulen</w:t>
      </w:r>
    </w:p>
    <w:p>
      <w:pPr>
        <w:pStyle w:val="Title"/>
      </w:pPr>
      <w:r>
        <w:t>Engl. transl.: ViSC Social Competence Program</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Multinational</w:t>
      </w:r>
    </w:p>
    <w:p>
      <w:pPr>
        <w:pStyle w:val="Heading2"/>
      </w:pPr>
      <w:bookmarkStart w:id="4" w:name="_Toc6"/>
      <w:r>
        <w:t>Countries</w:t>
      </w:r>
      <w:bookmarkEnd w:id="4"/>
    </w:p>
    <w:p>
      <w:pPr>
        <w:numPr>
          <w:ilvl w:val="0"/>
          <w:numId w:val="5"/>
        </w:numPr>
      </w:pPr>
      <w:r>
        <w:rPr/>
        <w:t xml:space="preserve">Austria</w:t>
      </w:r>
    </w:p>
    <w:p>
      <w:pPr>
        <w:numPr>
          <w:ilvl w:val="0"/>
          <w:numId w:val="5"/>
        </w:numPr>
      </w:pPr>
      <w:r>
        <w:rPr/>
        <w:t xml:space="preserve">Romania</w:t>
      </w:r>
    </w:p>
    <w:p>
      <w:pPr>
        <w:numPr>
          <w:ilvl w:val="0"/>
          <w:numId w:val="5"/>
        </w:numPr>
      </w:pPr>
      <w:r>
        <w:rPr/>
        <w:t xml:space="preserve">Cyprus</w:t>
      </w:r>
    </w:p>
    <w:p>
      <w:pPr>
        <w:numPr>
          <w:ilvl w:val="0"/>
          <w:numId w:val="5"/>
        </w:numPr>
      </w:pPr>
      <w:r>
        <w:rPr/>
        <w:t xml:space="preserve">Kosovo</w:t>
      </w:r>
    </w:p>
    <w:p>
      <w:pPr>
        <w:numPr>
          <w:ilvl w:val="0"/>
          <w:numId w:val="5"/>
        </w:numPr>
      </w:pPr>
      <w:r>
        <w:rPr/>
        <w:t xml:space="preserve">Turkey</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Other Methodology</w:t>
      </w:r>
      <w:bookmarkEnd w:id="7"/>
    </w:p>
    <w:p>
      <w:pPr/>
      <w:r>
        <w:rPr/>
        <w:t xml:space="preserve">School projects</w:t>
      </w:r>
    </w:p>
    <w:p>
      <w:pPr>
        <w:pStyle w:val="Heading2"/>
      </w:pPr>
      <w:bookmarkStart w:id="8" w:name="_Toc10"/>
      <w:r>
        <w:t>Researched Groups</w:t>
      </w:r>
      <w:bookmarkEnd w:id="8"/>
    </w:p>
    <w:p>
      <w:pPr>
        <w:pStyle w:val="Heading2"/>
      </w:pPr>
      <w:bookmarkStart w:id="9" w:name="_Toc11"/>
      <w:r>
        <w:t>Children Ages</w:t>
      </w:r>
      <w:bookmarkEnd w:id="9"/>
    </w:p>
    <w:p>
      <w:pPr>
        <w:pStyle w:val="Heading2"/>
      </w:pPr>
      <w:bookmarkStart w:id="10" w:name="_Toc12"/>
      <w:r>
        <w:t>Other Childrens Age Group</w:t>
      </w:r>
      <w:bookmarkEnd w:id="10"/>
    </w:p>
    <w:p>
      <w:pPr/>
      <w:r>
        <w:rPr/>
        <w:t xml:space="preserve">Adolescents (14-15 Years old)</w:t>
      </w:r>
    </w:p>
    <w:p>
      <w:pPr>
        <w:pStyle w:val="Heading2"/>
      </w:pPr>
      <w:bookmarkStart w:id="11" w:name="_Toc13"/>
      <w:r>
        <w:t>Funder</w:t>
      </w:r>
      <w:bookmarkEnd w:id="11"/>
    </w:p>
    <w:p>
      <w:pPr/>
      <w:r>
        <w:rPr/>
        <w:t xml:space="preserve">Bundesministeriums für Unterricht, Kunst und Kultur</w:t>
      </w:r>
    </w:p>
    <w:p>
      <w:pPr>
        <w:pStyle w:val="Heading2"/>
      </w:pPr>
      <w:bookmarkStart w:id="12" w:name="_Toc14"/>
      <w:r>
        <w:t>Funder Types</w:t>
      </w:r>
      <w:bookmarkEnd w:id="12"/>
    </w:p>
    <w:p>
      <w:pPr/>
      <w:r>
        <w:rPr/>
        <w:t xml:space="preserve">National Government / Ministry</w:t>
      </w:r>
    </w:p>
    <w:p>
      <w:pPr>
        <w:pStyle w:val="Heading2"/>
      </w:pPr>
      <w:bookmarkStart w:id="13" w:name="_Toc15"/>
      <w:r>
        <w:t>Has Formal Ethical Clearance</w:t>
      </w:r>
      <w:bookmarkEnd w:id="13"/>
    </w:p>
    <w:p>
      <w:pPr>
        <w:pStyle w:val="Heading2"/>
      </w:pPr>
      <w:bookmarkStart w:id="14" w:name="_Toc16"/>
      <w:r>
        <w:t>Consents</w:t>
      </w:r>
      <w:bookmarkEnd w:id="14"/>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numPr>
          <w:ilvl w:val="0"/>
          <w:numId w:val="5"/>
        </w:numPr>
      </w:pPr>
      <w:r>
        <w:rPr/>
        <w:t xml:space="preserve">Consent obtained from school officials / principal</w:t>
      </w:r>
    </w:p>
    <w:p>
      <w:pPr>
        <w:numPr>
          <w:ilvl w:val="0"/>
          <w:numId w:val="5"/>
        </w:numPr>
      </w:pPr>
      <w:r>
        <w:rPr/>
        <w:t xml:space="preserve">Other</w:t>
      </w:r>
    </w:p>
    <w:p>
      <w:pPr>
        <w:pStyle w:val="Heading2"/>
      </w:pPr>
      <w:bookmarkStart w:id="15" w:name="_Toc17"/>
      <w:r>
        <w:t>Informed Consent</w:t>
      </w:r>
      <w:bookmarkEnd w:id="15"/>
    </w:p>
    <w:p>
      <w:pPr/>
      <w:r>
        <w:rPr/>
        <w:t xml:space="preserve">Consent obtained</w:t>
      </w:r>
    </w:p>
    <w:p>
      <w:pPr>
        <w:pStyle w:val="Heading2"/>
      </w:pPr>
      <w:bookmarkStart w:id="16" w:name="_Toc18"/>
      <w:r>
        <w:t>Ethics</w:t>
      </w:r>
      <w:bookmarkEnd w:id="16"/>
    </w:p>
    <w:p>
      <w:pPr>
        <w:pStyle w:val="Heading2"/>
      </w:pPr>
      <w:bookmarkStart w:id="17" w:name="_Toc19"/>
      <w:r>
        <w:t>URL</w:t>
      </w:r>
      <w:bookmarkEnd w:id="17"/>
    </w:p>
    <w:p>
      <w:pPr/>
      <w:r>
        <w:rPr/>
        <w:t xml:space="preserve">http://www.viscprogram.eu/programm/</w:t>
      </w:r>
    </w:p>
    <w:p>
      <w:pPr>
        <w:pStyle w:val="Heading2"/>
      </w:pPr>
      <w:bookmarkStart w:id="18" w:name="_Toc20"/>
      <w:r>
        <w:t>Data Set Availability</w:t>
      </w:r>
      <w:bookmarkEnd w:id="18"/>
    </w:p>
    <w:p>
      <w:pPr/>
      <w:r>
        <w:rPr/>
        <w:t xml:space="preserve">Data availability statement in the publication</w:t>
      </w:r>
    </w:p>
    <w:p>
      <w:pPr>
        <w:pStyle w:val="Heading1"/>
      </w:pPr>
      <w:bookmarkStart w:id="19" w:name="_Toc21"/>
      <w:r>
        <w:t>Goals</w:t>
      </w:r>
      <w:bookmarkEnd w:id="19"/>
    </w:p>
    <w:p>
      <w:pPr/>
      <w:r>
        <w:rPr/>
        <w:t xml:space="preserve">"Goals and target groups of the ViSC program In accordance with the Austrian national strategy, the main goal of the ViSC program is to reduce aggressive behavior and bullying and foster social and intercultural competencies in schools. The ViSC program is a primary preventive program designed for secondary schools. In Austria, secondary schools serve grades 5 to 8, with students aged eleven to fifteen years. The ViSC program intends to install the mission of the national strategy, Together Against Violence, as a commonly shared principle in schools, approaches the school as a whole, and uses a systemic perspective. The prevention of aggression and bullying is defined as a school development task, and the initial implementation of the program lasts one school year. During the first semester, the program covers interventive and preventive measures at the school, and teachers are the primary target group (see Table 6.1). Preventive measures at the class level are introduced to the teachers during the second semester. During this semester, the target groups are both teachers and students." (Strohmeier/Hoffmann/Schiller/Stefanek/Spiel, 2018, 72-73)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162B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2025-10-21T21:49:34+00:00</dcterms:created>
  <dcterms:modified xsi:type="dcterms:W3CDTF">2025-10-21T21:49:34+00:00</dcterms:modified>
</cp:coreProperties>
</file>

<file path=docProps/custom.xml><?xml version="1.0" encoding="utf-8"?>
<Properties xmlns="http://schemas.openxmlformats.org/officeDocument/2006/custom-properties" xmlns:vt="http://schemas.openxmlformats.org/officeDocument/2006/docPropsVTypes"/>
</file>