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Usporedba prevalencije i predikcije vršnjačkog nasilja sa vršnjačkim zlostavljanjem</w:t>
      </w:r>
    </w:p>
    <w:p>
      <w:pPr>
        <w:pStyle w:val="Title"/>
      </w:pPr>
      <w:r>
        <w:t>Engl. transl.: Comparison of Prevalence and Prediction of Peer Violence with Peer Bullying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Croatia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13-15 years old</w:t>
      </w:r>
    </w:p>
    <w:p>
      <w:pPr>
        <w:pStyle w:val="Heading2"/>
      </w:pPr>
      <w:bookmarkStart w:id="10" w:name="_Toc12"/>
      <w:r>
        <w:t>Has Formal Ethical Clearance</w:t>
      </w:r>
      <w:bookmarkEnd w:id="10"/>
    </w:p>
    <w:p>
      <w:pPr>
        <w:pStyle w:val="Heading2"/>
      </w:pPr>
      <w:bookmarkStart w:id="11" w:name="_Toc13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2"/>
      </w:pPr>
      <w:bookmarkStart w:id="14" w:name="_Toc16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"With the conducted research researchers wanted to check two problems:
1.Compare the prevalence of violence and abuse, and also compare the situation in Osijek schools after 5 years.
2. Compare the possibility of predicting violence in relation to abuse." Velki, 2019, 367-368 (translated by the coder)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2025-10-14T00:09:09+00:00</dcterms:created>
  <dcterms:modified xsi:type="dcterms:W3CDTF">2025-10-14T00:09:09+00:00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