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Aktivnosti i društvene mreže u slobodnom vremenu mlađih tinejdžera</w:t>
      </w:r>
    </w:p>
    <w:p>
      <w:pPr>
        <w:pStyle w:val="Title"/>
      </w:pPr>
      <w:r>
        <w:t>Engl. transl.: Activities and Social Networks in the Leisure Time of Young Teenagers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Pre-adolescents (11-13 Years old)</w:t>
      </w:r>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research sought to determine how many young teenagers (sixth and seventh grade elementary school students) have free time, which leisure activities are most prevalent, how many students have online profile on a social media and how much space in their free time is taken by online social media, which social media and activities are most common among them, how many “friends” they have on social networks, their opinion on the offered structured activities and what they think is missing, opinion on security on social networks and inclusion parents in their online activities. Finally, the goal was to find out what form of hanging out do they prefer, and is there a difference according to the gender of the respondents, according to the size of the place where they live and according to the education of the parents." Rattinger, 2017, 224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2025-10-17T02:27:30+00:00</dcterms:created>
  <dcterms:modified xsi:type="dcterms:W3CDTF">2025-10-17T02:27:30+00:00</dcterms:modified>
</cp:coreProperties>
</file>

<file path=docProps/custom.xml><?xml version="1.0" encoding="utf-8"?>
<Properties xmlns="http://schemas.openxmlformats.org/officeDocument/2006/custom-properties" xmlns:vt="http://schemas.openxmlformats.org/officeDocument/2006/docPropsVTypes"/>
</file>