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aktivnosti i rizična ponašanja adolescenata u virtualnom okruženju</w:t>
      </w:r>
    </w:p>
    <w:p>
      <w:pPr>
        <w:pStyle w:val="Title"/>
      </w:pPr>
      <w:r>
        <w:t>Engl. transl.: Online Activities and Rish Behaviors among Adolescents in the Virtual Enviroment</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15-20 years old</w:t>
      </w:r>
    </w:p>
    <w:p>
      <w:pPr>
        <w:pStyle w:val="Heading2"/>
      </w:pPr>
      <w:bookmarkStart w:id="10" w:name="_Toc12"/>
      <w:r>
        <w:t>Has Formal Ethical Clearance</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issues flagged in the paper</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Main focus was to determine how adolescents spend their time online, in which activities they mostly participate, how much time they spend online, etc. Second main focus was to determine if adolescents are addicted to the internet, and if they are victims or bullies in cyberbullying activities. Also, researchers wanted to see if there is any difference between male and female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2025-10-16T22:50:53+00:00</dcterms:created>
  <dcterms:modified xsi:type="dcterms:W3CDTF">2025-10-16T22:50:53+00:00</dcterms:modified>
</cp:coreProperties>
</file>

<file path=docProps/custom.xml><?xml version="1.0" encoding="utf-8"?>
<Properties xmlns="http://schemas.openxmlformats.org/officeDocument/2006/custom-properties" xmlns:vt="http://schemas.openxmlformats.org/officeDocument/2006/docPropsVTypes"/>
</file>