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KidsVerbraucherAnalyse 2014</w:t>
      </w:r>
    </w:p>
    <w:p>
      <w:pPr>
        <w:pStyle w:val="Title"/>
      </w:pPr>
      <w:r>
        <w:t>Engl. transl.: KidsConsumerAnalysis 2014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2014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Germany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Preschool (0-5 Years old)</w:t>
      </w:r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Egmont-Ehapa-Verlag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Private industry / Company</w:t>
      </w:r>
    </w:p>
    <w:p>
      <w:pPr>
        <w:pStyle w:val="Heading2"/>
      </w:pPr>
      <w:bookmarkStart w:id="11" w:name="_Toc13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4"/>
      <w:r>
        <w:t>Ethics</w:t>
      </w:r>
      <w:bookmarkEnd w:id="12"/>
    </w:p>
    <w:p>
      <w:pPr/>
      <w:r>
        <w:rPr/>
        <w:t xml:space="preserve">Ethical considerations not mentioned</w:t>
      </w:r>
    </w:p>
    <w:p>
      <w:pPr>
        <w:pStyle w:val="Heading2"/>
      </w:pPr>
      <w:bookmarkStart w:id="13" w:name="_Toc15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6"/>
      <w:r>
        <w:t>Goals</w:t>
      </w:r>
      <w:bookmarkEnd w:id="14"/>
    </w:p>
    <w:p>
      <w:pPr/>
      <w:r>
        <w:rPr/>
        <w:t xml:space="preserve">The study aims to explore the consumer and media behaviour of 6- to 13-year-olds in Germany.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24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411E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2024-04-24T23:13:37+00:00</dcterms:created>
  <dcterms:modified xsi:type="dcterms:W3CDTF">2024-04-24T23:13:37+00:00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