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III: The meaning of online problematic situations for children</w:t>
      </w:r>
    </w:p>
    <w:p>
      <w:pPr>
        <w:pStyle w:val="Title"/>
      </w:pPr>
      <w:r>
        <w:t>Engl. transl.: EU Kids Online III: The meaning of online problematic situations for children</w:t>
      </w:r>
    </w:p>
    <w:p>
      <w:pPr>
        <w:pStyle w:val="Heading1"/>
      </w:pPr>
      <w:bookmarkStart w:id="1" w:name="_Toc3"/>
      <w:r>
        <w:t>Details</w:t>
      </w:r>
      <w:bookmarkEnd w:id="1"/>
    </w:p>
    <w:p>
      <w:pPr>
        <w:pStyle w:val="Heading2"/>
      </w:pPr>
      <w:bookmarkStart w:id="2" w:name="_Toc4"/>
      <w:r>
        <w:t>Year</w:t>
      </w:r>
      <w:bookmarkEnd w:id="2"/>
    </w:p>
    <w:p>
      <w:pPr/>
      <w:r>
        <w:rPr/>
        <w:t xml:space="preserve">2013</w:t>
      </w:r>
    </w:p>
    <w:p>
      <w:pPr>
        <w:pStyle w:val="Heading2"/>
      </w:pPr>
      <w:bookmarkStart w:id="3" w:name="_Toc5"/>
      <w:r>
        <w:t>Scope</w:t>
      </w:r>
      <w:bookmarkEnd w:id="3"/>
    </w:p>
    <w:p>
      <w:pPr/>
      <w:r>
        <w:rPr/>
        <w:t xml:space="preserve">Multinational</w:t>
      </w:r>
    </w:p>
    <w:p>
      <w:pPr>
        <w:pStyle w:val="Heading2"/>
      </w:pPr>
      <w:bookmarkStart w:id="4" w:name="_Toc6"/>
      <w:r>
        <w:t>Countries</w:t>
      </w:r>
      <w:bookmarkEnd w:id="4"/>
    </w:p>
    <w:p>
      <w:pPr>
        <w:numPr>
          <w:ilvl w:val="0"/>
          <w:numId w:val="5"/>
        </w:numPr>
      </w:pPr>
      <w:r>
        <w:rPr/>
        <w:t xml:space="preserve">Belgium</w:t>
      </w:r>
    </w:p>
    <w:p>
      <w:pPr>
        <w:numPr>
          <w:ilvl w:val="0"/>
          <w:numId w:val="5"/>
        </w:numPr>
      </w:pPr>
      <w:r>
        <w:rPr/>
        <w:t xml:space="preserve">Czech Republic</w:t>
      </w:r>
    </w:p>
    <w:p>
      <w:pPr>
        <w:numPr>
          <w:ilvl w:val="0"/>
          <w:numId w:val="5"/>
        </w:numPr>
      </w:pPr>
      <w:r>
        <w:rPr/>
        <w:t xml:space="preserve">Greece</w:t>
      </w:r>
    </w:p>
    <w:p>
      <w:pPr>
        <w:numPr>
          <w:ilvl w:val="0"/>
          <w:numId w:val="5"/>
        </w:numPr>
      </w:pPr>
      <w:r>
        <w:rPr/>
        <w:t xml:space="preserve">Malta</w:t>
      </w:r>
    </w:p>
    <w:p>
      <w:pPr>
        <w:numPr>
          <w:ilvl w:val="0"/>
          <w:numId w:val="5"/>
        </w:numPr>
      </w:pPr>
      <w:r>
        <w:rPr/>
        <w:t xml:space="preserve">Italy</w:t>
      </w:r>
    </w:p>
    <w:p>
      <w:pPr>
        <w:numPr>
          <w:ilvl w:val="0"/>
          <w:numId w:val="5"/>
        </w:numPr>
      </w:pPr>
      <w:r>
        <w:rPr/>
        <w:t xml:space="preserve">Portugal</w:t>
      </w:r>
    </w:p>
    <w:p>
      <w:pPr>
        <w:numPr>
          <w:ilvl w:val="0"/>
          <w:numId w:val="5"/>
        </w:numPr>
      </w:pPr>
      <w:r>
        <w:rPr/>
        <w:t xml:space="preserve">Romania</w:t>
      </w:r>
    </w:p>
    <w:p>
      <w:pPr>
        <w:numPr>
          <w:ilvl w:val="0"/>
          <w:numId w:val="5"/>
        </w:numPr>
      </w:pPr>
      <w:r>
        <w:rPr/>
        <w:t xml:space="preserve">Spain</w:t>
      </w:r>
    </w:p>
    <w:p>
      <w:pPr>
        <w:numPr>
          <w:ilvl w:val="0"/>
          <w:numId w:val="5"/>
        </w:numPr>
      </w:pPr>
      <w:r>
        <w:rPr/>
        <w:t xml:space="preserve">United Kingdom</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Kids (6-10 Years old)</w:t>
      </w:r>
    </w:p>
    <w:p>
      <w:pPr>
        <w:numPr>
          <w:ilvl w:val="0"/>
          <w:numId w:val="5"/>
        </w:numPr>
      </w:pPr>
      <w:r>
        <w:rPr/>
        <w:t xml:space="preserve">Pre-adolescents (11-13 Years old)</w:t>
      </w:r>
    </w:p>
    <w:p>
      <w:pPr>
        <w:numPr>
          <w:ilvl w:val="0"/>
          <w:numId w:val="5"/>
        </w:numPr>
      </w:pPr>
      <w:r>
        <w:rPr/>
        <w:t xml:space="preserve">Adolescents (14-18 Years old)</w:t>
      </w:r>
    </w:p>
    <w:p>
      <w:pPr>
        <w:pStyle w:val="Heading2"/>
      </w:pPr>
      <w:bookmarkStart w:id="9" w:name="_Toc11"/>
      <w:r>
        <w:t>Funder</w:t>
      </w:r>
      <w:bookmarkEnd w:id="9"/>
    </w:p>
    <w:p>
      <w:pPr/>
      <w:r>
        <w:rPr/>
        <w:t xml:space="preserve">EC Safer Internet Programme</w:t>
      </w:r>
    </w:p>
    <w:p>
      <w:pPr>
        <w:pStyle w:val="Heading2"/>
      </w:pPr>
      <w:bookmarkStart w:id="10" w:name="_Toc12"/>
      <w:r>
        <w:t>Funder Types</w:t>
      </w:r>
      <w:bookmarkEnd w:id="10"/>
    </w:p>
    <w:p>
      <w:pPr/>
      <w:r>
        <w:rPr/>
        <w:t xml:space="preserve">European Union / Commission</w:t>
      </w:r>
    </w:p>
    <w:p>
      <w:pPr>
        <w:pStyle w:val="Heading2"/>
      </w:pPr>
      <w:bookmarkStart w:id="11" w:name="_Toc13"/>
      <w:r>
        <w:t>Has Formal Ethical Clearance</w:t>
      </w:r>
      <w:bookmarkEnd w:id="11"/>
    </w:p>
    <w:p>
      <w:pPr>
        <w:pStyle w:val="Heading2"/>
      </w:pPr>
      <w:bookmarkStart w:id="12" w:name="_Toc14"/>
      <w:r>
        <w:t>Consents</w:t>
      </w:r>
      <w:bookmarkEnd w:id="12"/>
    </w:p>
    <w:p>
      <w:pPr>
        <w:pStyle w:val="Heading2"/>
      </w:pPr>
      <w:bookmarkStart w:id="13" w:name="_Toc15"/>
      <w:r>
        <w:t>Informed Consent</w:t>
      </w:r>
      <w:bookmarkEnd w:id="13"/>
    </w:p>
    <w:p>
      <w:pPr/>
      <w:r>
        <w:rPr/>
        <w:t xml:space="preserve">Consent obtained</w:t>
      </w:r>
    </w:p>
    <w:p>
      <w:pPr>
        <w:pStyle w:val="Heading2"/>
      </w:pPr>
      <w:bookmarkStart w:id="14" w:name="_Toc16"/>
      <w:r>
        <w:t>Ethics</w:t>
      </w:r>
      <w:bookmarkEnd w:id="14"/>
    </w:p>
    <w:p>
      <w:pPr/>
      <w:r>
        <w:rPr/>
        <w:t xml:space="preserve">Ethical considerations and/or protocol mentioned in the research design</w:t>
      </w:r>
    </w:p>
    <w:p>
      <w:pPr>
        <w:pStyle w:val="Heading2"/>
      </w:pPr>
      <w:bookmarkStart w:id="15" w:name="_Toc17"/>
      <w:r>
        <w:t>URL</w:t>
      </w:r>
      <w:bookmarkEnd w:id="15"/>
    </w:p>
    <w:p>
      <w:pPr/>
      <w:r>
        <w:rPr/>
        <w:t xml:space="preserve">http://www.eukidsonline.net/</w:t>
      </w:r>
    </w:p>
    <w:p>
      <w:pPr>
        <w:pStyle w:val="Heading2"/>
      </w:pPr>
      <w:bookmarkStart w:id="16" w:name="_Toc18"/>
      <w:r>
        <w:t>Data Set Availability</w:t>
      </w:r>
      <w:bookmarkEnd w:id="16"/>
    </w:p>
    <w:p>
      <w:pPr/>
      <w:r>
        <w:rPr/>
        <w:t xml:space="preserve">Not mentioned</w:t>
      </w:r>
    </w:p>
    <w:p>
      <w:pPr>
        <w:pStyle w:val="Heading1"/>
      </w:pPr>
      <w:bookmarkStart w:id="17" w:name="_Toc19"/>
      <w:r>
        <w:t>Goals</w:t>
      </w:r>
      <w:bookmarkEnd w:id="17"/>
    </w:p>
    <w:p>
      <w:pPr/>
      <w:r>
        <w:rPr/>
        <w:t xml:space="preserve">The research included children who used the internet weekly. The children were from nine European countries: Belgium, the Czech Republic, Greece, Italy, Malta, Portugal, Romania, Spain, and the United Kingdom. - This research focused on the following: what children perceive as being potentially negative or problematic while using the internet, what risks children are aware of when using the internet, what consequences online negative experiences might have, how children react to negative experiences, what children do to avoid or prevent these problematic experiences, and why children perceive certain situations as negative. - Interviews and focus groups were used to collect children’s data. The main fieldwork, using the revised research procedures guide and the topic guide, was carried out from February to September 2013 in all nine countries, with children aged 9–16 (N = 378). Schools or youth centers were used to recruit children for 56 focus groups and 114 interviews. - The term “children” refers to children aged 9–16. Internet usage refers to a variety of activities across various platforms, which can be accessed anywhere, alone, or with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9F04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2025-11-03T16:32:31+00:00</dcterms:created>
  <dcterms:modified xsi:type="dcterms:W3CDTF">2025-11-03T16:32:31+00:00</dcterms:modified>
</cp:coreProperties>
</file>

<file path=docProps/custom.xml><?xml version="1.0" encoding="utf-8"?>
<Properties xmlns="http://schemas.openxmlformats.org/officeDocument/2006/custom-properties" xmlns:vt="http://schemas.openxmlformats.org/officeDocument/2006/docPropsVTypes"/>
</file>